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b/>
          <w:sz w:val="44"/>
          <w:szCs w:val="44"/>
        </w:rPr>
      </w:pPr>
      <w:r>
        <w:rPr>
          <w:rFonts w:hint="eastAsia" w:asciiTheme="majorEastAsia" w:hAnsiTheme="majorEastAsia" w:eastAsiaTheme="majorEastAsia"/>
          <w:b/>
          <w:bCs/>
          <w:sz w:val="44"/>
          <w:szCs w:val="44"/>
        </w:rPr>
        <w:t>市级储备粮自主轮换合同</w:t>
      </w:r>
    </w:p>
    <w:p>
      <w:pPr>
        <w:rPr>
          <w:rFonts w:ascii="仿宋" w:hAnsi="仿宋" w:eastAsia="仿宋"/>
          <w:sz w:val="32"/>
          <w:szCs w:val="32"/>
        </w:rPr>
      </w:pPr>
    </w:p>
    <w:p>
      <w:pPr>
        <w:rPr>
          <w:rFonts w:ascii="仿宋" w:hAnsi="仿宋" w:eastAsia="仿宋"/>
          <w:sz w:val="32"/>
          <w:szCs w:val="32"/>
        </w:rPr>
      </w:pPr>
      <w:r>
        <w:rPr>
          <w:rFonts w:hint="eastAsia" w:ascii="仿宋" w:hAnsi="仿宋" w:eastAsia="仿宋"/>
          <w:sz w:val="32"/>
          <w:szCs w:val="32"/>
        </w:rPr>
        <w:t>甲方：梅州市嘉泰粮食和物资储备有限公司</w:t>
      </w:r>
    </w:p>
    <w:p>
      <w:pPr>
        <w:rPr>
          <w:rFonts w:ascii="仿宋" w:hAnsi="仿宋" w:eastAsia="仿宋"/>
          <w:sz w:val="32"/>
          <w:szCs w:val="32"/>
        </w:rPr>
      </w:pPr>
    </w:p>
    <w:p>
      <w:pPr>
        <w:rPr>
          <w:rFonts w:ascii="仿宋" w:hAnsi="仿宋" w:eastAsia="仿宋"/>
          <w:sz w:val="32"/>
          <w:szCs w:val="32"/>
        </w:rPr>
      </w:pPr>
      <w:r>
        <w:rPr>
          <w:rFonts w:hint="eastAsia" w:ascii="仿宋" w:hAnsi="仿宋" w:eastAsia="仿宋"/>
          <w:sz w:val="32"/>
          <w:szCs w:val="32"/>
        </w:rPr>
        <w:t>乙方：XXXXX</w:t>
      </w:r>
    </w:p>
    <w:p>
      <w:pPr>
        <w:rPr>
          <w:rFonts w:ascii="仿宋" w:hAnsi="仿宋" w:eastAsia="仿宋"/>
          <w:sz w:val="32"/>
          <w:szCs w:val="32"/>
        </w:rPr>
      </w:pPr>
    </w:p>
    <w:p>
      <w:pPr>
        <w:ind w:firstLine="664" w:firstLineChars="200"/>
        <w:rPr>
          <w:rFonts w:ascii="仿宋" w:hAnsi="仿宋" w:eastAsia="仿宋"/>
          <w:spacing w:val="6"/>
          <w:sz w:val="32"/>
          <w:szCs w:val="32"/>
        </w:rPr>
      </w:pPr>
      <w:r>
        <w:rPr>
          <w:rFonts w:hint="eastAsia" w:ascii="仿宋" w:hAnsi="仿宋" w:eastAsia="仿宋"/>
          <w:spacing w:val="6"/>
          <w:sz w:val="32"/>
          <w:szCs w:val="32"/>
        </w:rPr>
        <w:t>为进一步优化我市市级储备粮管理体制机制，调整储备粮品种结构，减轻财政负担，促进本地粮食加工企业的品牌建设与健康发展，实现“政府、企业、市场”三共赢。经梅州市发展和改革局批准,8000吨市级储备粮稻谷自主轮换（动态）方式新一轮合作企业采用招标方式确定。根据2023年XX月XX日公开竞价结果，中标单位为乙方，经甲、乙双方自愿共同协商，就甲乙双方合作经营市级储备自主轮换（动态）稻谷的事宜，</w:t>
      </w:r>
      <w:r>
        <w:rPr>
          <w:rFonts w:hint="eastAsia" w:ascii="仿宋" w:hAnsi="仿宋" w:eastAsia="仿宋"/>
          <w:sz w:val="32"/>
          <w:szCs w:val="32"/>
        </w:rPr>
        <w:t>依照《广东省粮食和物资储备局  广东省财政厅  中国农业发展广东省分行关于进一步加强地方储备粮轮换管理的通知》（粤粮调〔2020〕167号）、《梅州市市级储备粮管理办法》、《梅州市市级储备粮自主轮换储备管理实施细则》的有关规定，</w:t>
      </w:r>
      <w:r>
        <w:rPr>
          <w:rFonts w:hint="eastAsia" w:ascii="仿宋" w:hAnsi="仿宋" w:eastAsia="仿宋"/>
          <w:spacing w:val="6"/>
          <w:sz w:val="32"/>
          <w:szCs w:val="32"/>
        </w:rPr>
        <w:t>达成如下协议：</w:t>
      </w:r>
    </w:p>
    <w:p>
      <w:pPr>
        <w:ind w:firstLine="660" w:firstLineChars="198"/>
        <w:rPr>
          <w:rFonts w:ascii="仿宋" w:hAnsi="仿宋" w:eastAsia="仿宋"/>
          <w:b/>
          <w:bCs/>
          <w:spacing w:val="6"/>
          <w:sz w:val="32"/>
          <w:szCs w:val="32"/>
        </w:rPr>
      </w:pPr>
      <w:r>
        <w:rPr>
          <w:rFonts w:hint="eastAsia" w:ascii="仿宋" w:hAnsi="仿宋" w:eastAsia="仿宋"/>
          <w:b/>
          <w:bCs/>
          <w:spacing w:val="6"/>
          <w:sz w:val="32"/>
          <w:szCs w:val="32"/>
        </w:rPr>
        <w:t>一、自主轮换品种、数量和存储地点</w:t>
      </w:r>
    </w:p>
    <w:p>
      <w:pPr>
        <w:rPr>
          <w:rFonts w:ascii="仿宋" w:hAnsi="仿宋" w:eastAsia="仿宋"/>
          <w:spacing w:val="6"/>
          <w:sz w:val="32"/>
          <w:szCs w:val="32"/>
        </w:rPr>
      </w:pPr>
      <w:r>
        <w:rPr>
          <w:rFonts w:hint="eastAsia" w:ascii="仿宋" w:hAnsi="仿宋" w:eastAsia="仿宋"/>
          <w:spacing w:val="6"/>
          <w:sz w:val="32"/>
          <w:szCs w:val="32"/>
        </w:rPr>
        <w:t xml:space="preserve">    品种、等级：早籼三级稻谷。</w:t>
      </w:r>
    </w:p>
    <w:p>
      <w:pPr>
        <w:ind w:firstLine="664" w:firstLineChars="200"/>
        <w:jc w:val="left"/>
        <w:rPr>
          <w:rFonts w:ascii="仿宋" w:hAnsi="仿宋" w:eastAsia="仿宋" w:cs="宋体"/>
          <w:spacing w:val="6"/>
          <w:sz w:val="32"/>
          <w:szCs w:val="32"/>
        </w:rPr>
      </w:pPr>
      <w:r>
        <w:rPr>
          <w:rFonts w:hint="eastAsia" w:ascii="仿宋" w:hAnsi="仿宋" w:eastAsia="仿宋"/>
          <w:spacing w:val="6"/>
          <w:sz w:val="32"/>
          <w:szCs w:val="32"/>
        </w:rPr>
        <w:t>数量： 8000吨。</w:t>
      </w:r>
    </w:p>
    <w:p>
      <w:pPr>
        <w:ind w:firstLine="664" w:firstLineChars="200"/>
        <w:rPr>
          <w:rFonts w:ascii="仿宋" w:hAnsi="仿宋" w:eastAsia="仿宋" w:cs="宋体"/>
          <w:spacing w:val="6"/>
          <w:sz w:val="32"/>
          <w:szCs w:val="32"/>
        </w:rPr>
      </w:pPr>
      <w:r>
        <w:rPr>
          <w:rFonts w:hint="eastAsia" w:ascii="仿宋" w:hAnsi="仿宋" w:eastAsia="仿宋"/>
          <w:spacing w:val="6"/>
          <w:sz w:val="32"/>
          <w:szCs w:val="32"/>
        </w:rPr>
        <w:t>储存地点：</w:t>
      </w:r>
      <w:r>
        <w:rPr>
          <w:rFonts w:hint="eastAsia" w:ascii="仿宋" w:hAnsi="仿宋" w:eastAsia="仿宋" w:cs="宋体"/>
          <w:spacing w:val="6"/>
          <w:sz w:val="32"/>
          <w:szCs w:val="32"/>
        </w:rPr>
        <w:t>梅州市嘉泰粮食和物资储备有限公司罗坑仓库P1、P2、P3仓。</w:t>
      </w:r>
    </w:p>
    <w:p>
      <w:pPr>
        <w:ind w:firstLine="667" w:firstLineChars="200"/>
        <w:rPr>
          <w:rFonts w:ascii="仿宋" w:hAnsi="仿宋" w:eastAsia="仿宋" w:cs="宋体"/>
          <w:spacing w:val="6"/>
          <w:sz w:val="32"/>
          <w:szCs w:val="32"/>
        </w:rPr>
      </w:pPr>
      <w:r>
        <w:rPr>
          <w:rFonts w:hint="eastAsia" w:ascii="仿宋" w:hAnsi="仿宋" w:eastAsia="仿宋"/>
          <w:b/>
          <w:bCs/>
          <w:spacing w:val="6"/>
          <w:sz w:val="32"/>
          <w:szCs w:val="32"/>
        </w:rPr>
        <w:t>二、自主轮换期限</w:t>
      </w:r>
    </w:p>
    <w:p>
      <w:pPr>
        <w:ind w:firstLine="664" w:firstLineChars="200"/>
        <w:rPr>
          <w:rFonts w:ascii="仿宋" w:hAnsi="仿宋" w:eastAsia="仿宋"/>
          <w:spacing w:val="6"/>
          <w:sz w:val="32"/>
          <w:szCs w:val="32"/>
        </w:rPr>
      </w:pPr>
      <w:r>
        <w:rPr>
          <w:rFonts w:hint="eastAsia" w:ascii="仿宋" w:hAnsi="仿宋" w:eastAsia="仿宋"/>
          <w:spacing w:val="6"/>
          <w:sz w:val="32"/>
          <w:szCs w:val="32"/>
        </w:rPr>
        <w:t>自主轮换期限从2024年1月1日至 2026年12 月31日止。</w:t>
      </w:r>
    </w:p>
    <w:p>
      <w:pPr>
        <w:ind w:firstLine="660" w:firstLineChars="198"/>
        <w:rPr>
          <w:rFonts w:ascii="仿宋" w:hAnsi="仿宋" w:eastAsia="仿宋"/>
          <w:b/>
          <w:bCs/>
          <w:spacing w:val="6"/>
          <w:sz w:val="32"/>
          <w:szCs w:val="32"/>
        </w:rPr>
      </w:pPr>
      <w:r>
        <w:rPr>
          <w:rFonts w:hint="eastAsia" w:ascii="仿宋" w:hAnsi="仿宋" w:eastAsia="仿宋"/>
          <w:b/>
          <w:bCs/>
          <w:spacing w:val="6"/>
          <w:sz w:val="32"/>
          <w:szCs w:val="32"/>
        </w:rPr>
        <w:t>三、自主轮换方式及要求</w:t>
      </w:r>
    </w:p>
    <w:p>
      <w:pPr>
        <w:ind w:firstLine="664" w:firstLineChars="200"/>
        <w:rPr>
          <w:rFonts w:ascii="方正仿宋简体" w:hAnsi="宋体" w:eastAsia="方正仿宋简体" w:cs="宋体"/>
          <w:sz w:val="32"/>
          <w:szCs w:val="32"/>
        </w:rPr>
      </w:pPr>
      <w:r>
        <w:rPr>
          <w:rFonts w:hint="eastAsia" w:ascii="仿宋" w:hAnsi="仿宋" w:eastAsia="仿宋"/>
          <w:spacing w:val="6"/>
          <w:sz w:val="32"/>
          <w:szCs w:val="32"/>
        </w:rPr>
        <w:t>（一）乙方负责自主轮换8000吨的稻谷，自主轮换期内可多次轮换，不限次数，但自主轮换数额内的粮食轮换周期最长不能超过自主轮换期限。任何时点最低库存量不能低于自主轮换总额的75%，且不超过自主轮换总额的100%，即实物库存数量在6000吨到8000吨之间（如有变动，按地方储备粮管理有关规定执行）。</w:t>
      </w:r>
    </w:p>
    <w:p>
      <w:pPr>
        <w:ind w:firstLine="420"/>
        <w:rPr>
          <w:rFonts w:ascii="仿宋" w:hAnsi="仿宋" w:eastAsia="仿宋"/>
          <w:spacing w:val="6"/>
          <w:sz w:val="32"/>
          <w:szCs w:val="32"/>
        </w:rPr>
      </w:pPr>
      <w:r>
        <w:rPr>
          <w:rFonts w:hint="eastAsia" w:ascii="仿宋" w:hAnsi="仿宋" w:eastAsia="仿宋"/>
          <w:spacing w:val="6"/>
          <w:sz w:val="32"/>
          <w:szCs w:val="32"/>
        </w:rPr>
        <w:t>（二）乙方根据自身企业和市场需要，在自主轮换期内、自主轮换数额内可向甲方分批次提出轮换数量的书面申请，经甲方审批同意后，方可进行。</w:t>
      </w:r>
    </w:p>
    <w:p>
      <w:pPr>
        <w:ind w:firstLine="664" w:firstLineChars="200"/>
        <w:rPr>
          <w:rFonts w:ascii="仿宋" w:hAnsi="仿宋" w:eastAsia="仿宋"/>
          <w:spacing w:val="6"/>
          <w:sz w:val="32"/>
          <w:szCs w:val="32"/>
        </w:rPr>
      </w:pPr>
      <w:r>
        <w:rPr>
          <w:rFonts w:hint="eastAsia" w:ascii="仿宋" w:hAnsi="仿宋" w:eastAsia="仿宋"/>
          <w:spacing w:val="6"/>
          <w:sz w:val="32"/>
          <w:szCs w:val="32"/>
        </w:rPr>
        <w:t>1、乙方购进新粮入库一般要求同品种等量轮换，承储库点不变。如因甲方调整库点、仓位，乙方应按照甲方提出的地点、仓位按规定堆放，甲方不增加费用。乙方</w:t>
      </w:r>
      <w:r>
        <w:rPr>
          <w:rFonts w:ascii="仿宋" w:hAnsi="仿宋" w:eastAsia="仿宋"/>
          <w:spacing w:val="6"/>
          <w:sz w:val="32"/>
          <w:szCs w:val="32"/>
        </w:rPr>
        <w:t>可根据</w:t>
      </w:r>
      <w:r>
        <w:rPr>
          <w:rFonts w:hint="eastAsia" w:ascii="仿宋" w:hAnsi="仿宋" w:eastAsia="仿宋"/>
          <w:spacing w:val="6"/>
          <w:sz w:val="32"/>
          <w:szCs w:val="32"/>
        </w:rPr>
        <w:t>实际</w:t>
      </w:r>
      <w:r>
        <w:rPr>
          <w:rFonts w:ascii="仿宋" w:hAnsi="仿宋" w:eastAsia="仿宋"/>
          <w:spacing w:val="6"/>
          <w:sz w:val="32"/>
          <w:szCs w:val="32"/>
        </w:rPr>
        <w:t>轮换需要申报相应的周转仓，经</w:t>
      </w:r>
      <w:r>
        <w:rPr>
          <w:rFonts w:hint="eastAsia" w:ascii="仿宋" w:hAnsi="仿宋" w:eastAsia="仿宋"/>
          <w:spacing w:val="6"/>
          <w:sz w:val="32"/>
          <w:szCs w:val="32"/>
        </w:rPr>
        <w:t>甲方</w:t>
      </w:r>
      <w:r>
        <w:rPr>
          <w:rFonts w:ascii="仿宋" w:hAnsi="仿宋" w:eastAsia="仿宋"/>
          <w:spacing w:val="6"/>
          <w:sz w:val="32"/>
          <w:szCs w:val="32"/>
        </w:rPr>
        <w:t>进行空仓确认后，周转仓作为自主轮换储备粮专仓管理</w:t>
      </w:r>
      <w:r>
        <w:rPr>
          <w:rFonts w:hint="eastAsia" w:ascii="仿宋" w:hAnsi="仿宋" w:eastAsia="仿宋"/>
          <w:spacing w:val="6"/>
          <w:sz w:val="32"/>
          <w:szCs w:val="32"/>
        </w:rPr>
        <w:t>，周转仓费用由乙方自行承担，乙</w:t>
      </w:r>
      <w:r>
        <w:rPr>
          <w:rFonts w:hint="eastAsia" w:ascii="Times New Roman" w:hAnsi="Times New Roman" w:eastAsia="文星仿宋" w:cs="Times New Roman"/>
          <w:sz w:val="32"/>
          <w:szCs w:val="32"/>
        </w:rPr>
        <w:t>方</w:t>
      </w:r>
      <w:r>
        <w:rPr>
          <w:rFonts w:ascii="Times New Roman" w:hAnsi="Times New Roman" w:eastAsia="文星仿宋" w:cs="Times New Roman"/>
          <w:sz w:val="32"/>
          <w:szCs w:val="32"/>
        </w:rPr>
        <w:t>应在</w:t>
      </w:r>
      <w:r>
        <w:rPr>
          <w:rFonts w:hint="eastAsia" w:ascii="Times New Roman" w:hAnsi="Times New Roman" w:eastAsia="文星仿宋" w:cs="Times New Roman"/>
          <w:sz w:val="32"/>
          <w:szCs w:val="32"/>
        </w:rPr>
        <w:t>周转仓</w:t>
      </w:r>
      <w:r>
        <w:rPr>
          <w:rFonts w:ascii="Times New Roman" w:hAnsi="Times New Roman" w:eastAsia="文星仿宋" w:cs="Times New Roman"/>
          <w:sz w:val="32"/>
          <w:szCs w:val="32"/>
        </w:rPr>
        <w:t>主要位置配置视频监控设备，提供连接远程视频实时监控条件及其他智能化粮库管理条件，与</w:t>
      </w:r>
      <w:r>
        <w:rPr>
          <w:rFonts w:hint="eastAsia" w:ascii="Times New Roman" w:hAnsi="Times New Roman" w:eastAsia="文星仿宋" w:cs="Times New Roman"/>
          <w:sz w:val="32"/>
          <w:szCs w:val="32"/>
        </w:rPr>
        <w:t>广东</w:t>
      </w:r>
      <w:r>
        <w:rPr>
          <w:rFonts w:ascii="Times New Roman" w:hAnsi="Times New Roman" w:eastAsia="文星仿宋" w:cs="Times New Roman"/>
          <w:sz w:val="32"/>
          <w:szCs w:val="32"/>
        </w:rPr>
        <w:t>省智能化管理平台互联互通，接受远程监控管理。</w:t>
      </w:r>
      <w:r>
        <w:rPr>
          <w:rFonts w:hint="eastAsia" w:ascii="仿宋" w:hAnsi="仿宋" w:eastAsia="仿宋"/>
          <w:spacing w:val="6"/>
          <w:sz w:val="32"/>
          <w:szCs w:val="32"/>
        </w:rPr>
        <w:t>乙方根据自身企业和市场需求，轮换购进的稻谷品质可高于向甲方初始稻谷的品质，因提高品质所增加的购粮款，乙方自行负责。入库粮食数量、品质需经甲方验收。</w:t>
      </w:r>
    </w:p>
    <w:p>
      <w:pPr>
        <w:ind w:firstLine="707" w:firstLineChars="213"/>
        <w:rPr>
          <w:rFonts w:ascii="仿宋" w:hAnsi="仿宋" w:eastAsia="仿宋"/>
          <w:spacing w:val="6"/>
          <w:sz w:val="32"/>
          <w:szCs w:val="32"/>
        </w:rPr>
      </w:pPr>
      <w:r>
        <w:rPr>
          <w:rFonts w:hint="eastAsia" w:ascii="仿宋" w:hAnsi="仿宋" w:eastAsia="仿宋"/>
          <w:spacing w:val="6"/>
          <w:sz w:val="32"/>
          <w:szCs w:val="32"/>
        </w:rPr>
        <w:t>2、轮换入库的粮食，必须是轮入当年度的新粮，如入库时当年新粮尚未上市，必须是上年度产且经检验符合标准的粮食。在自主轮换合同到期时，确保自主轮换在库稻谷为本年产的最新稻谷，且实物库存数量为8000吨。</w:t>
      </w:r>
    </w:p>
    <w:p>
      <w:pPr>
        <w:ind w:firstLine="709"/>
        <w:rPr>
          <w:rFonts w:ascii="仿宋" w:hAnsi="仿宋" w:eastAsia="仿宋"/>
          <w:bCs/>
          <w:spacing w:val="6"/>
          <w:sz w:val="32"/>
          <w:szCs w:val="32"/>
        </w:rPr>
      </w:pPr>
      <w:r>
        <w:rPr>
          <w:rFonts w:hint="eastAsia" w:ascii="仿宋" w:hAnsi="仿宋" w:eastAsia="仿宋"/>
          <w:bCs/>
          <w:spacing w:val="6"/>
          <w:sz w:val="32"/>
          <w:szCs w:val="32"/>
        </w:rPr>
        <w:t>（三）品质要求</w:t>
      </w:r>
    </w:p>
    <w:p>
      <w:pPr>
        <w:ind w:firstLine="664" w:firstLineChars="200"/>
        <w:rPr>
          <w:rFonts w:ascii="仿宋" w:hAnsi="仿宋" w:eastAsia="仿宋"/>
          <w:spacing w:val="6"/>
          <w:sz w:val="32"/>
          <w:szCs w:val="32"/>
        </w:rPr>
      </w:pPr>
      <w:r>
        <w:rPr>
          <w:rFonts w:hint="eastAsia" w:ascii="仿宋" w:hAnsi="仿宋" w:eastAsia="仿宋"/>
          <w:spacing w:val="6"/>
          <w:sz w:val="32"/>
          <w:szCs w:val="32"/>
        </w:rPr>
        <w:t>1、质量符合国家标准（GB1350—2009）的规定中等以上（含中等）。</w:t>
      </w:r>
    </w:p>
    <w:p>
      <w:pPr>
        <w:ind w:firstLine="664" w:firstLineChars="200"/>
        <w:rPr>
          <w:rFonts w:ascii="仿宋" w:hAnsi="仿宋" w:eastAsia="仿宋"/>
          <w:spacing w:val="6"/>
          <w:sz w:val="32"/>
          <w:szCs w:val="32"/>
        </w:rPr>
      </w:pPr>
      <w:r>
        <w:rPr>
          <w:rFonts w:hint="eastAsia" w:ascii="仿宋" w:hAnsi="仿宋" w:eastAsia="仿宋"/>
          <w:spacing w:val="6"/>
          <w:sz w:val="32"/>
          <w:szCs w:val="32"/>
        </w:rPr>
        <w:t>2、卫生符合国家标准（GB2715—2005）有关规定执行。</w:t>
      </w:r>
    </w:p>
    <w:p>
      <w:pPr>
        <w:ind w:firstLine="664" w:firstLineChars="200"/>
        <w:rPr>
          <w:rFonts w:hint="eastAsia" w:ascii="仿宋" w:hAnsi="仿宋" w:eastAsia="仿宋"/>
          <w:spacing w:val="6"/>
          <w:sz w:val="32"/>
          <w:szCs w:val="32"/>
        </w:rPr>
      </w:pPr>
      <w:r>
        <w:rPr>
          <w:rFonts w:hint="eastAsia" w:ascii="仿宋" w:hAnsi="仿宋" w:eastAsia="仿宋"/>
          <w:spacing w:val="6"/>
          <w:sz w:val="32"/>
          <w:szCs w:val="32"/>
        </w:rPr>
        <w:t>3、储存品质应符合（GB/T20569—2006）及相关规定的宜存标准。</w:t>
      </w:r>
    </w:p>
    <w:p>
      <w:pPr>
        <w:ind w:left="92" w:leftChars="44" w:firstLine="498" w:firstLineChars="150"/>
        <w:jc w:val="left"/>
        <w:rPr>
          <w:rFonts w:hint="eastAsia" w:ascii="仿宋" w:hAnsi="仿宋" w:eastAsia="仿宋"/>
          <w:spacing w:val="6"/>
          <w:sz w:val="32"/>
          <w:szCs w:val="32"/>
        </w:rPr>
      </w:pPr>
      <w:r>
        <w:rPr>
          <w:rFonts w:hint="eastAsia" w:ascii="仿宋" w:hAnsi="仿宋" w:eastAsia="仿宋"/>
          <w:spacing w:val="6"/>
          <w:sz w:val="32"/>
          <w:szCs w:val="32"/>
        </w:rPr>
        <w:t>稻谷：执行GB1350-2009早籼三级稻谷（含三级）以上标准，质量检测主要指标达到：出糙率≥75%，整精米率≥44%，杂质≤1.0%，水分≤13.5%，黄粒米≤1%，</w:t>
      </w:r>
      <w:r>
        <w:rPr>
          <w:rFonts w:hint="eastAsia" w:ascii="Times New Roman" w:hAnsi="Times New Roman" w:eastAsia="文星仿宋" w:cs="文星仿宋"/>
          <w:sz w:val="32"/>
          <w:szCs w:val="32"/>
        </w:rPr>
        <w:t>谷外糙米≤2%、互混率≤5%，</w:t>
      </w:r>
      <w:r>
        <w:rPr>
          <w:rFonts w:hint="eastAsia" w:ascii="仿宋" w:hAnsi="仿宋" w:eastAsia="仿宋"/>
          <w:spacing w:val="6"/>
          <w:sz w:val="32"/>
          <w:szCs w:val="32"/>
        </w:rPr>
        <w:t>脂肪酸值≤25mgKOH/100g（上一年度产稻谷），脂肪酸值≤18.5mgKOH/100g（本年度产稻谷），色泽气味正常，无虫害，符合国家粮食卫生标准，其中要求镉≤0.2mg/kg。</w:t>
      </w:r>
    </w:p>
    <w:p>
      <w:pPr>
        <w:ind w:left="92" w:leftChars="44" w:firstLine="498" w:firstLineChars="150"/>
        <w:jc w:val="left"/>
        <w:rPr>
          <w:rFonts w:ascii="仿宋" w:hAnsi="仿宋" w:eastAsia="仿宋"/>
          <w:spacing w:val="6"/>
          <w:sz w:val="32"/>
          <w:szCs w:val="32"/>
        </w:rPr>
      </w:pPr>
      <w:r>
        <w:rPr>
          <w:rFonts w:hint="eastAsia" w:ascii="仿宋" w:hAnsi="仿宋" w:eastAsia="仿宋"/>
          <w:spacing w:val="6"/>
          <w:sz w:val="32"/>
          <w:szCs w:val="32"/>
        </w:rPr>
        <w:t>如遇国家相关标准调整，将按新标准执行。</w:t>
      </w:r>
    </w:p>
    <w:p>
      <w:pPr>
        <w:ind w:firstLine="667" w:firstLineChars="200"/>
        <w:rPr>
          <w:rFonts w:ascii="仿宋" w:hAnsi="仿宋" w:eastAsia="仿宋"/>
          <w:spacing w:val="6"/>
          <w:sz w:val="32"/>
          <w:szCs w:val="32"/>
        </w:rPr>
      </w:pPr>
      <w:r>
        <w:rPr>
          <w:rFonts w:hint="eastAsia" w:ascii="仿宋" w:hAnsi="仿宋" w:eastAsia="仿宋"/>
          <w:b/>
          <w:bCs/>
          <w:spacing w:val="6"/>
          <w:sz w:val="32"/>
          <w:szCs w:val="32"/>
        </w:rPr>
        <w:t>四、自主轮换储备粮支配权和监督检查</w:t>
      </w:r>
    </w:p>
    <w:p>
      <w:pPr>
        <w:ind w:firstLine="664" w:firstLineChars="200"/>
        <w:rPr>
          <w:rFonts w:ascii="仿宋" w:hAnsi="仿宋" w:eastAsia="仿宋"/>
          <w:spacing w:val="6"/>
          <w:sz w:val="32"/>
          <w:szCs w:val="32"/>
        </w:rPr>
      </w:pPr>
      <w:r>
        <w:rPr>
          <w:rFonts w:hint="eastAsia" w:ascii="仿宋" w:hAnsi="仿宋" w:eastAsia="仿宋"/>
          <w:spacing w:val="6"/>
          <w:sz w:val="32"/>
          <w:szCs w:val="32"/>
        </w:rPr>
        <w:t>自主轮换储备粮权属梅州市人民政府，市政府需要动用自主轮换储备粮时，按《梅州市粮食应急预案》有关程序执行。如影响到本合同所约定条款的履行，可终止本合同，除《梅州市粮食应急预案》规定可给予的经济补偿外，甲方无需再向乙方支付任何费用及其他形式补偿。</w:t>
      </w:r>
    </w:p>
    <w:p>
      <w:pPr>
        <w:ind w:firstLine="664" w:firstLineChars="200"/>
        <w:rPr>
          <w:rFonts w:ascii="仿宋" w:hAnsi="仿宋" w:eastAsia="仿宋"/>
          <w:spacing w:val="6"/>
          <w:sz w:val="32"/>
          <w:szCs w:val="32"/>
        </w:rPr>
      </w:pPr>
      <w:r>
        <w:rPr>
          <w:rFonts w:hint="eastAsia" w:ascii="仿宋" w:hAnsi="仿宋" w:eastAsia="仿宋"/>
          <w:spacing w:val="6"/>
          <w:sz w:val="32"/>
          <w:szCs w:val="32"/>
        </w:rPr>
        <w:t>梅州市发展改革局、梅州市财政局、农发行梅州市分行或其他相关部门将不定期对乙方自主轮换的粮食储存库点、仓号、品种、数量、品质等进行监督检查，乙方应积极配合，出现不符合要求的情况时，应限期改正，所涉及的经济责任由乙方承担。若出现3次检查不合格且限期未完成整改的情形，甲方有权单方解除合同，同时将乙方列入甲方自主轮换储备粮招标黑名单。</w:t>
      </w:r>
    </w:p>
    <w:p>
      <w:pPr>
        <w:ind w:firstLine="583" w:firstLineChars="175"/>
        <w:rPr>
          <w:rFonts w:ascii="仿宋" w:hAnsi="仿宋" w:eastAsia="仿宋"/>
          <w:b/>
          <w:spacing w:val="6"/>
          <w:sz w:val="32"/>
          <w:szCs w:val="32"/>
        </w:rPr>
      </w:pPr>
      <w:r>
        <w:rPr>
          <w:rFonts w:hint="eastAsia" w:ascii="仿宋" w:hAnsi="仿宋" w:eastAsia="仿宋"/>
          <w:b/>
          <w:spacing w:val="6"/>
          <w:sz w:val="32"/>
          <w:szCs w:val="32"/>
        </w:rPr>
        <w:t>五、储备粮轮换销、购货款管理办法</w:t>
      </w:r>
    </w:p>
    <w:p>
      <w:pPr>
        <w:ind w:firstLine="581" w:firstLineChars="175"/>
        <w:rPr>
          <w:rFonts w:ascii="仿宋" w:hAnsi="仿宋" w:eastAsia="仿宋"/>
          <w:spacing w:val="6"/>
          <w:sz w:val="32"/>
          <w:szCs w:val="32"/>
        </w:rPr>
      </w:pPr>
      <w:r>
        <w:rPr>
          <w:rFonts w:hint="eastAsia" w:ascii="仿宋" w:hAnsi="仿宋" w:eastAsia="仿宋"/>
          <w:spacing w:val="6"/>
          <w:sz w:val="32"/>
          <w:szCs w:val="32"/>
        </w:rPr>
        <w:t>1、乙方轮出启动前，应向甲方在市农发行设立的账户存入该批次轮换粮食总价款100%的货款作为押金，该批次粮食轮换入库时，</w:t>
      </w:r>
      <w:r>
        <w:rPr>
          <w:rFonts w:hint="eastAsia" w:ascii="Times New Roman" w:hAnsi="Times New Roman" w:eastAsia="文星仿宋" w:cs="Times New Roman"/>
          <w:sz w:val="32"/>
          <w:szCs w:val="32"/>
        </w:rPr>
        <w:t>乙方凭入库验收单向甲方申请退回对应重量自主轮换稻谷的押金，甲方核实后须在2个工作日内完成无息退款。</w:t>
      </w:r>
    </w:p>
    <w:p>
      <w:pPr>
        <w:ind w:firstLine="640" w:firstLineChars="193"/>
        <w:jc w:val="left"/>
        <w:rPr>
          <w:rFonts w:ascii="仿宋" w:hAnsi="仿宋" w:eastAsia="仿宋"/>
          <w:spacing w:val="6"/>
          <w:sz w:val="32"/>
          <w:szCs w:val="32"/>
        </w:rPr>
      </w:pPr>
      <w:r>
        <w:rPr>
          <w:rFonts w:hint="eastAsia" w:ascii="仿宋" w:hAnsi="仿宋" w:eastAsia="仿宋"/>
          <w:spacing w:val="6"/>
          <w:sz w:val="32"/>
          <w:szCs w:val="32"/>
        </w:rPr>
        <w:t>2、自主轮换（轮入、轮出）货款押金按2870元/吨结算。</w:t>
      </w:r>
    </w:p>
    <w:p>
      <w:pPr>
        <w:ind w:firstLine="500" w:firstLineChars="150"/>
        <w:rPr>
          <w:rFonts w:ascii="仿宋" w:hAnsi="仿宋" w:eastAsia="仿宋"/>
          <w:b/>
          <w:spacing w:val="6"/>
          <w:sz w:val="32"/>
          <w:szCs w:val="32"/>
        </w:rPr>
      </w:pPr>
      <w:r>
        <w:rPr>
          <w:rFonts w:hint="eastAsia" w:ascii="仿宋" w:hAnsi="仿宋" w:eastAsia="仿宋"/>
          <w:b/>
          <w:spacing w:val="6"/>
          <w:sz w:val="32"/>
          <w:szCs w:val="32"/>
        </w:rPr>
        <w:t>六、甲方责任</w:t>
      </w:r>
    </w:p>
    <w:p>
      <w:pPr>
        <w:ind w:firstLine="647" w:firstLineChars="195"/>
        <w:jc w:val="left"/>
        <w:rPr>
          <w:rFonts w:ascii="仿宋" w:hAnsi="仿宋" w:eastAsia="仿宋" w:cs="宋体"/>
          <w:kern w:val="0"/>
          <w:sz w:val="32"/>
          <w:szCs w:val="32"/>
        </w:rPr>
      </w:pPr>
      <w:r>
        <w:rPr>
          <w:rFonts w:hint="eastAsia" w:ascii="仿宋" w:hAnsi="仿宋" w:eastAsia="仿宋"/>
          <w:spacing w:val="6"/>
          <w:sz w:val="32"/>
          <w:szCs w:val="32"/>
        </w:rPr>
        <w:t>1、甲方负责周转仓之外的自主轮换储备粮的日常管理，</w:t>
      </w:r>
      <w:r>
        <w:rPr>
          <w:rFonts w:hint="eastAsia" w:ascii="仿宋" w:hAnsi="仿宋" w:eastAsia="仿宋" w:cs="宋体"/>
          <w:kern w:val="0"/>
          <w:sz w:val="32"/>
          <w:szCs w:val="32"/>
        </w:rPr>
        <w:t>确保自主轮换储备粮的数量、质量及储存安全，</w:t>
      </w:r>
      <w:r>
        <w:rPr>
          <w:rFonts w:hint="eastAsia" w:ascii="仿宋" w:hAnsi="仿宋" w:eastAsia="仿宋"/>
          <w:spacing w:val="6"/>
          <w:sz w:val="32"/>
          <w:szCs w:val="32"/>
        </w:rPr>
        <w:t>按规定建立账、牌、卡、簿等。</w:t>
      </w:r>
    </w:p>
    <w:p>
      <w:pPr>
        <w:ind w:firstLine="664" w:firstLineChars="200"/>
        <w:rPr>
          <w:rFonts w:ascii="仿宋" w:hAnsi="仿宋" w:eastAsia="仿宋"/>
          <w:spacing w:val="6"/>
          <w:sz w:val="32"/>
          <w:szCs w:val="32"/>
        </w:rPr>
      </w:pPr>
      <w:r>
        <w:rPr>
          <w:rFonts w:hint="eastAsia" w:ascii="仿宋" w:hAnsi="仿宋" w:eastAsia="仿宋"/>
          <w:spacing w:val="6"/>
          <w:sz w:val="32"/>
          <w:szCs w:val="32"/>
        </w:rPr>
        <w:t>2、甲方无条件支持配合乙方自主轮换储备粮的出库和入库，并负责入库稻谷的品质检查、司磅、填制磅码单和验收单，规范管理。</w:t>
      </w:r>
    </w:p>
    <w:p>
      <w:pPr>
        <w:ind w:firstLine="630"/>
        <w:rPr>
          <w:rFonts w:hint="eastAsia" w:ascii="方正仿宋简体" w:hAnsi="宋体" w:eastAsia="方正仿宋简体"/>
          <w:sz w:val="32"/>
          <w:szCs w:val="32"/>
        </w:rPr>
      </w:pPr>
      <w:r>
        <w:rPr>
          <w:rFonts w:hint="eastAsia" w:ascii="仿宋" w:hAnsi="仿宋" w:eastAsia="仿宋"/>
          <w:spacing w:val="6"/>
          <w:sz w:val="32"/>
          <w:szCs w:val="32"/>
        </w:rPr>
        <w:t>3、甲方按中标价每年每吨XXX元的自主轮换费用，</w:t>
      </w:r>
      <w:r>
        <w:rPr>
          <w:rFonts w:hint="eastAsia" w:ascii="方正仿宋简体" w:hAnsi="宋体" w:eastAsia="方正仿宋简体"/>
          <w:sz w:val="32"/>
          <w:szCs w:val="32"/>
        </w:rPr>
        <w:t>凭乙方开具的有效发票，经甲方核实后，每半年一次向乙方结算自主轮换费用。</w:t>
      </w:r>
    </w:p>
    <w:p>
      <w:pPr>
        <w:ind w:firstLine="653" w:firstLineChars="196"/>
        <w:rPr>
          <w:rFonts w:ascii="仿宋" w:hAnsi="仿宋" w:eastAsia="仿宋"/>
          <w:b/>
          <w:bCs/>
          <w:spacing w:val="6"/>
          <w:sz w:val="32"/>
          <w:szCs w:val="32"/>
        </w:rPr>
      </w:pPr>
      <w:r>
        <w:rPr>
          <w:rFonts w:hint="eastAsia" w:ascii="仿宋" w:hAnsi="仿宋" w:eastAsia="仿宋"/>
          <w:b/>
          <w:bCs/>
          <w:spacing w:val="6"/>
          <w:sz w:val="32"/>
          <w:szCs w:val="32"/>
        </w:rPr>
        <w:t>七、乙方责任</w:t>
      </w:r>
    </w:p>
    <w:p>
      <w:pPr>
        <w:ind w:firstLine="640" w:firstLineChars="193"/>
        <w:rPr>
          <w:rFonts w:ascii="仿宋" w:hAnsi="仿宋" w:eastAsia="仿宋"/>
          <w:spacing w:val="6"/>
          <w:sz w:val="32"/>
          <w:szCs w:val="32"/>
        </w:rPr>
      </w:pPr>
      <w:r>
        <w:rPr>
          <w:rFonts w:hint="eastAsia" w:ascii="仿宋" w:hAnsi="仿宋" w:eastAsia="仿宋"/>
          <w:spacing w:val="6"/>
          <w:sz w:val="32"/>
          <w:szCs w:val="32"/>
        </w:rPr>
        <w:t>1、乙方应严格执行国家粮食局2016年10月编制的《粮油安全储存守则》、《粮库安全生产守则》的相关要求，在自主轮换期内粮食出、入库和设备使用应规范；乙方必须做好安全生产防范工作，规范使用粮食出、入库所需生产工具、设备，做好人员管理，并确保库区通道畅通、环境整洁卫生。若出现粮食安全、安全生产事故问题，乙方应承担全部损失及责任。</w:t>
      </w:r>
    </w:p>
    <w:p>
      <w:pPr>
        <w:ind w:firstLine="640" w:firstLineChars="193"/>
        <w:jc w:val="left"/>
        <w:rPr>
          <w:rFonts w:ascii="仿宋" w:hAnsi="仿宋" w:eastAsia="仿宋"/>
          <w:spacing w:val="6"/>
          <w:sz w:val="32"/>
          <w:szCs w:val="32"/>
        </w:rPr>
      </w:pPr>
      <w:r>
        <w:rPr>
          <w:rFonts w:hint="eastAsia" w:ascii="仿宋" w:hAnsi="仿宋" w:eastAsia="仿宋"/>
          <w:spacing w:val="6"/>
          <w:sz w:val="32"/>
          <w:szCs w:val="32"/>
        </w:rPr>
        <w:t>2、自主轮换储备粮出现的差价盈亏、税费、出入库搬运、损耗等一切费用均由乙方自行承担。</w:t>
      </w:r>
    </w:p>
    <w:p>
      <w:pPr>
        <w:ind w:firstLine="640" w:firstLineChars="200"/>
        <w:rPr>
          <w:rFonts w:ascii="仿宋" w:hAnsi="仿宋" w:eastAsia="仿宋" w:cs="宋体"/>
          <w:sz w:val="32"/>
          <w:szCs w:val="32"/>
        </w:rPr>
      </w:pPr>
      <w:r>
        <w:rPr>
          <w:rFonts w:hint="eastAsia" w:ascii="仿宋" w:hAnsi="仿宋" w:eastAsia="仿宋" w:cs="宋体"/>
          <w:sz w:val="32"/>
          <w:szCs w:val="32"/>
        </w:rPr>
        <w:t>3、乙方配置专职人员管理周转仓内的自主轮换稻谷，建立库存台帐专账管理，建立保管账、统计账，做到专仓储存，不得混放。</w:t>
      </w:r>
    </w:p>
    <w:p>
      <w:pPr>
        <w:ind w:firstLine="630"/>
        <w:rPr>
          <w:rFonts w:ascii="仿宋" w:hAnsi="仿宋" w:eastAsia="仿宋"/>
          <w:sz w:val="32"/>
          <w:szCs w:val="32"/>
        </w:rPr>
      </w:pPr>
      <w:r>
        <w:rPr>
          <w:rFonts w:hint="eastAsia" w:ascii="仿宋" w:hAnsi="仿宋" w:eastAsia="仿宋" w:cs="宋体"/>
          <w:sz w:val="32"/>
          <w:szCs w:val="32"/>
        </w:rPr>
        <w:t>4、在合同期限内，</w:t>
      </w:r>
      <w:r>
        <w:rPr>
          <w:rFonts w:hint="eastAsia" w:ascii="仿宋" w:hAnsi="仿宋" w:eastAsia="仿宋"/>
          <w:sz w:val="32"/>
          <w:szCs w:val="32"/>
        </w:rPr>
        <w:t>如因政府指令等因数，乙方负责的自主轮换储备粮数量需要重新调整的，或取消自主轮换储备粮计划的，乙方应无条件同意，不视为甲方违约。</w:t>
      </w:r>
    </w:p>
    <w:p>
      <w:pPr>
        <w:ind w:firstLine="630"/>
        <w:rPr>
          <w:rFonts w:ascii="仿宋" w:hAnsi="仿宋" w:eastAsia="仿宋" w:cs="宋体"/>
          <w:sz w:val="32"/>
          <w:szCs w:val="32"/>
        </w:rPr>
      </w:pPr>
      <w:r>
        <w:rPr>
          <w:rFonts w:hint="eastAsia" w:ascii="仿宋" w:hAnsi="仿宋" w:eastAsia="仿宋"/>
          <w:sz w:val="32"/>
          <w:szCs w:val="32"/>
        </w:rPr>
        <w:t>5、</w:t>
      </w:r>
      <w:r>
        <w:rPr>
          <w:rFonts w:hint="eastAsia" w:ascii="仿宋" w:hAnsi="仿宋" w:eastAsia="仿宋" w:cs="宋体"/>
          <w:sz w:val="32"/>
          <w:szCs w:val="32"/>
        </w:rPr>
        <w:t>乙方在本合同约定的自主轮换期内转营或关闭，或因其他原因不再具备自主轮换能力的，应提前三个月书面通知甲方，并限期</w:t>
      </w:r>
      <w:r>
        <w:rPr>
          <w:rFonts w:hint="eastAsia" w:ascii="仿宋" w:hAnsi="仿宋" w:eastAsia="仿宋"/>
          <w:sz w:val="32"/>
          <w:szCs w:val="32"/>
        </w:rPr>
        <w:t>归还</w:t>
      </w:r>
      <w:r>
        <w:rPr>
          <w:rFonts w:hint="eastAsia" w:ascii="仿宋" w:hAnsi="仿宋" w:eastAsia="仿宋"/>
          <w:spacing w:val="6"/>
          <w:sz w:val="32"/>
          <w:szCs w:val="32"/>
        </w:rPr>
        <w:t>当年产的三级早籼稻谷8000吨给</w:t>
      </w:r>
      <w:r>
        <w:rPr>
          <w:rFonts w:hint="eastAsia" w:ascii="仿宋" w:hAnsi="仿宋" w:eastAsia="仿宋"/>
          <w:sz w:val="32"/>
          <w:szCs w:val="32"/>
        </w:rPr>
        <w:t>甲方，如当年稻谷未上市，则应归还上一年度产的稻谷</w:t>
      </w:r>
      <w:bookmarkStart w:id="0" w:name="_GoBack"/>
      <w:bookmarkEnd w:id="0"/>
      <w:r>
        <w:rPr>
          <w:rFonts w:hint="eastAsia" w:ascii="仿宋" w:hAnsi="仿宋" w:eastAsia="仿宋"/>
          <w:sz w:val="32"/>
          <w:szCs w:val="32"/>
        </w:rPr>
        <w:t>。办理终止自主轮换合同，自主轮换履约保证金划归甲方，情节严重的，甲方视具体情况可追回</w:t>
      </w:r>
      <w:r>
        <w:rPr>
          <w:rFonts w:hint="eastAsia" w:ascii="仿宋" w:hAnsi="仿宋" w:eastAsia="仿宋" w:cs="宋体"/>
          <w:sz w:val="32"/>
          <w:szCs w:val="32"/>
        </w:rPr>
        <w:t>乙方1年的费用补贴。</w:t>
      </w:r>
    </w:p>
    <w:p>
      <w:pPr>
        <w:ind w:firstLine="667" w:firstLineChars="200"/>
        <w:rPr>
          <w:rFonts w:ascii="仿宋" w:hAnsi="仿宋" w:eastAsia="仿宋"/>
          <w:b/>
          <w:spacing w:val="6"/>
          <w:sz w:val="32"/>
          <w:szCs w:val="32"/>
        </w:rPr>
      </w:pPr>
      <w:r>
        <w:rPr>
          <w:rFonts w:hint="eastAsia" w:ascii="仿宋" w:hAnsi="仿宋" w:eastAsia="仿宋"/>
          <w:b/>
          <w:bCs/>
          <w:spacing w:val="6"/>
          <w:sz w:val="32"/>
          <w:szCs w:val="32"/>
        </w:rPr>
        <w:t>八、违约责任</w:t>
      </w:r>
    </w:p>
    <w:p>
      <w:pPr>
        <w:ind w:firstLine="664" w:firstLineChars="200"/>
        <w:rPr>
          <w:rFonts w:ascii="仿宋" w:hAnsi="仿宋" w:eastAsia="仿宋"/>
          <w:spacing w:val="6"/>
          <w:sz w:val="32"/>
          <w:szCs w:val="32"/>
        </w:rPr>
      </w:pPr>
      <w:r>
        <w:rPr>
          <w:rFonts w:hint="eastAsia" w:ascii="仿宋" w:hAnsi="仿宋" w:eastAsia="仿宋"/>
          <w:spacing w:val="6"/>
          <w:sz w:val="32"/>
          <w:szCs w:val="32"/>
        </w:rPr>
        <w:t>1、乙方购进的稻谷质量不符合国家规定的，甲方有权拒收，对已入库的稻谷乙方应限期更换，造成的损失由乙方承担，直至解除合同。</w:t>
      </w:r>
    </w:p>
    <w:p>
      <w:pPr>
        <w:ind w:firstLine="664" w:firstLineChars="200"/>
        <w:jc w:val="left"/>
        <w:rPr>
          <w:rFonts w:ascii="仿宋" w:hAnsi="仿宋" w:eastAsia="仿宋"/>
          <w:spacing w:val="6"/>
          <w:sz w:val="32"/>
          <w:szCs w:val="32"/>
        </w:rPr>
      </w:pPr>
      <w:r>
        <w:rPr>
          <w:rFonts w:hint="eastAsia" w:ascii="仿宋" w:hAnsi="仿宋" w:eastAsia="仿宋"/>
          <w:spacing w:val="6"/>
          <w:sz w:val="32"/>
          <w:szCs w:val="32"/>
        </w:rPr>
        <w:t>2、乙方在规定的期限内未能完成轮换任务，甲方有权自行组织强制及时出、入库，所产生的费用由乙方承担，乙方原因造成周转仓库存粮食质量劣变，不符合国家质量卫生标准的，包括购买价款在内的全部成本由乙方承担，甲方有权解除合同，</w:t>
      </w:r>
      <w:r>
        <w:rPr>
          <w:rFonts w:hint="eastAsia" w:ascii="仿宋" w:hAnsi="仿宋" w:eastAsia="仿宋"/>
          <w:sz w:val="32"/>
          <w:szCs w:val="32"/>
        </w:rPr>
        <w:t>自主轮换履约保证金划归甲方，情节严重的，甲方视具体情况可追回</w:t>
      </w:r>
      <w:r>
        <w:rPr>
          <w:rFonts w:hint="eastAsia" w:ascii="仿宋" w:hAnsi="仿宋" w:eastAsia="仿宋" w:cs="宋体"/>
          <w:sz w:val="32"/>
          <w:szCs w:val="32"/>
        </w:rPr>
        <w:t>乙方1年的费用补贴。</w:t>
      </w:r>
    </w:p>
    <w:p>
      <w:pPr>
        <w:ind w:firstLine="653" w:firstLineChars="196"/>
        <w:rPr>
          <w:rFonts w:ascii="仿宋" w:hAnsi="仿宋" w:eastAsia="仿宋"/>
          <w:b/>
          <w:bCs/>
          <w:spacing w:val="6"/>
          <w:sz w:val="32"/>
          <w:szCs w:val="32"/>
        </w:rPr>
      </w:pPr>
      <w:r>
        <w:rPr>
          <w:rFonts w:hint="eastAsia" w:ascii="仿宋" w:hAnsi="仿宋" w:eastAsia="仿宋"/>
          <w:b/>
          <w:bCs/>
          <w:spacing w:val="6"/>
          <w:sz w:val="32"/>
          <w:szCs w:val="32"/>
        </w:rPr>
        <w:t>九、争议处理</w:t>
      </w:r>
    </w:p>
    <w:p>
      <w:pPr>
        <w:ind w:firstLine="584" w:firstLineChars="176"/>
        <w:rPr>
          <w:rFonts w:ascii="仿宋" w:hAnsi="仿宋" w:eastAsia="仿宋"/>
          <w:spacing w:val="6"/>
          <w:sz w:val="32"/>
          <w:szCs w:val="32"/>
        </w:rPr>
      </w:pPr>
      <w:r>
        <w:rPr>
          <w:rFonts w:hint="eastAsia" w:ascii="仿宋" w:hAnsi="仿宋" w:eastAsia="仿宋"/>
          <w:spacing w:val="6"/>
          <w:sz w:val="32"/>
          <w:szCs w:val="32"/>
        </w:rPr>
        <w:t>本合同发生的争议，由双方当事人协商解决；协商不成的，提交市发展改革局调解或向甲方所在地人民法院提起诉讼。</w:t>
      </w:r>
    </w:p>
    <w:p>
      <w:pPr>
        <w:ind w:firstLine="653" w:firstLineChars="196"/>
        <w:rPr>
          <w:rFonts w:ascii="仿宋" w:hAnsi="仿宋" w:eastAsia="仿宋"/>
          <w:b/>
          <w:bCs/>
          <w:spacing w:val="6"/>
          <w:sz w:val="32"/>
          <w:szCs w:val="32"/>
        </w:rPr>
      </w:pPr>
      <w:r>
        <w:rPr>
          <w:rFonts w:hint="eastAsia" w:ascii="仿宋" w:hAnsi="仿宋" w:eastAsia="仿宋"/>
          <w:b/>
          <w:bCs/>
          <w:spacing w:val="6"/>
          <w:sz w:val="32"/>
          <w:szCs w:val="32"/>
        </w:rPr>
        <w:t>十、合同份数及效力</w:t>
      </w:r>
    </w:p>
    <w:p>
      <w:pPr>
        <w:ind w:firstLine="723" w:firstLineChars="218"/>
        <w:rPr>
          <w:rFonts w:ascii="仿宋" w:hAnsi="仿宋" w:eastAsia="仿宋"/>
          <w:spacing w:val="6"/>
          <w:sz w:val="32"/>
          <w:szCs w:val="32"/>
        </w:rPr>
      </w:pPr>
      <w:r>
        <w:rPr>
          <w:rFonts w:hint="eastAsia" w:ascii="仿宋" w:hAnsi="仿宋" w:eastAsia="仿宋"/>
          <w:spacing w:val="6"/>
          <w:sz w:val="32"/>
          <w:szCs w:val="32"/>
        </w:rPr>
        <w:t>本合同自甲乙双方签订之日起生效，有效期至自主轮换期限届满之日，本合同一式叁份，甲乙双方各执壹份，市嘉应粮食交易中心壹份，具同等效力。</w:t>
      </w:r>
    </w:p>
    <w:p>
      <w:pPr>
        <w:rPr>
          <w:rFonts w:ascii="仿宋" w:hAnsi="仿宋" w:eastAsia="仿宋"/>
          <w:spacing w:val="6"/>
          <w:sz w:val="32"/>
          <w:szCs w:val="32"/>
        </w:rPr>
      </w:pPr>
    </w:p>
    <w:p>
      <w:pPr>
        <w:rPr>
          <w:rFonts w:ascii="仿宋" w:hAnsi="仿宋" w:eastAsia="仿宋"/>
          <w:spacing w:val="6"/>
          <w:sz w:val="32"/>
          <w:szCs w:val="32"/>
        </w:rPr>
      </w:pPr>
      <w:r>
        <w:rPr>
          <w:rFonts w:hint="eastAsia" w:ascii="仿宋" w:hAnsi="仿宋" w:eastAsia="仿宋"/>
          <w:spacing w:val="6"/>
          <w:sz w:val="32"/>
          <w:szCs w:val="32"/>
        </w:rPr>
        <w:t>甲方（公章）：             乙方（公章）：</w:t>
      </w:r>
    </w:p>
    <w:p>
      <w:pPr>
        <w:rPr>
          <w:rFonts w:ascii="仿宋" w:hAnsi="仿宋" w:eastAsia="仿宋"/>
          <w:spacing w:val="6"/>
          <w:sz w:val="32"/>
          <w:szCs w:val="32"/>
        </w:rPr>
      </w:pPr>
    </w:p>
    <w:p>
      <w:pPr>
        <w:rPr>
          <w:rFonts w:ascii="仿宋" w:hAnsi="仿宋" w:eastAsia="仿宋"/>
          <w:spacing w:val="6"/>
          <w:sz w:val="32"/>
          <w:szCs w:val="32"/>
        </w:rPr>
      </w:pPr>
      <w:r>
        <w:rPr>
          <w:rFonts w:hint="eastAsia" w:ascii="仿宋" w:hAnsi="仿宋" w:eastAsia="仿宋"/>
          <w:spacing w:val="6"/>
          <w:sz w:val="32"/>
          <w:szCs w:val="32"/>
        </w:rPr>
        <w:t>签约代表：                签约代表：</w:t>
      </w:r>
    </w:p>
    <w:p>
      <w:pPr>
        <w:jc w:val="center"/>
        <w:rPr>
          <w:rFonts w:ascii="仿宋" w:hAnsi="仿宋" w:eastAsia="仿宋"/>
          <w:spacing w:val="6"/>
          <w:sz w:val="32"/>
          <w:szCs w:val="32"/>
        </w:rPr>
      </w:pPr>
    </w:p>
    <w:p>
      <w:pPr>
        <w:spacing w:line="500" w:lineRule="exact"/>
        <w:rPr>
          <w:rFonts w:ascii="宋体" w:hAnsi="宋体"/>
          <w:sz w:val="28"/>
        </w:rPr>
      </w:pPr>
    </w:p>
    <w:p>
      <w:pPr>
        <w:spacing w:line="500" w:lineRule="exact"/>
        <w:rPr>
          <w:rFonts w:ascii="仿宋" w:hAnsi="仿宋" w:eastAsia="仿宋"/>
          <w:spacing w:val="6"/>
          <w:sz w:val="32"/>
          <w:szCs w:val="32"/>
        </w:rPr>
      </w:pPr>
      <w:r>
        <w:rPr>
          <w:rFonts w:hint="eastAsia" w:ascii="仿宋" w:hAnsi="仿宋" w:eastAsia="仿宋"/>
          <w:spacing w:val="6"/>
          <w:sz w:val="32"/>
          <w:szCs w:val="32"/>
        </w:rPr>
        <w:t>确认单位：梅州市嘉应粮食交易中心有限公司</w:t>
      </w:r>
    </w:p>
    <w:p>
      <w:pPr>
        <w:rPr>
          <w:rFonts w:ascii="仿宋" w:hAnsi="仿宋" w:eastAsia="仿宋"/>
          <w:spacing w:val="6"/>
          <w:sz w:val="32"/>
          <w:szCs w:val="32"/>
        </w:rPr>
      </w:pPr>
      <w:r>
        <w:rPr>
          <w:rFonts w:hint="eastAsia" w:ascii="仿宋" w:hAnsi="仿宋" w:eastAsia="仿宋"/>
          <w:spacing w:val="6"/>
          <w:sz w:val="32"/>
          <w:szCs w:val="32"/>
        </w:rPr>
        <w:t>电话（传真）：0753-2128232    0753-2128231</w:t>
      </w:r>
    </w:p>
    <w:p>
      <w:pPr>
        <w:jc w:val="center"/>
        <w:rPr>
          <w:rFonts w:ascii="仿宋" w:hAnsi="仿宋" w:eastAsia="仿宋"/>
          <w:spacing w:val="6"/>
          <w:sz w:val="32"/>
          <w:szCs w:val="32"/>
        </w:rPr>
      </w:pPr>
    </w:p>
    <w:p>
      <w:pPr>
        <w:jc w:val="center"/>
        <w:rPr>
          <w:rFonts w:ascii="仿宋" w:hAnsi="仿宋" w:eastAsia="仿宋"/>
          <w:spacing w:val="6"/>
          <w:sz w:val="32"/>
          <w:szCs w:val="32"/>
        </w:rPr>
      </w:pPr>
    </w:p>
    <w:p>
      <w:pPr>
        <w:jc w:val="center"/>
        <w:rPr>
          <w:rFonts w:ascii="仿宋" w:hAnsi="仿宋" w:eastAsia="仿宋"/>
          <w:spacing w:val="6"/>
          <w:sz w:val="32"/>
          <w:szCs w:val="32"/>
        </w:rPr>
      </w:pPr>
      <w:r>
        <w:rPr>
          <w:rFonts w:hint="eastAsia" w:ascii="仿宋" w:hAnsi="仿宋" w:eastAsia="仿宋"/>
          <w:spacing w:val="6"/>
          <w:sz w:val="32"/>
          <w:szCs w:val="32"/>
        </w:rPr>
        <w:t>签约地点：梅州市嘉泰粮食和物资储备有限公司</w:t>
      </w:r>
    </w:p>
    <w:p>
      <w:pPr>
        <w:jc w:val="center"/>
        <w:rPr>
          <w:rFonts w:ascii="仿宋" w:hAnsi="仿宋" w:eastAsia="仿宋"/>
          <w:spacing w:val="6"/>
          <w:sz w:val="32"/>
          <w:szCs w:val="32"/>
        </w:rPr>
      </w:pPr>
      <w:r>
        <w:rPr>
          <w:rFonts w:hint="eastAsia" w:ascii="仿宋" w:hAnsi="仿宋" w:eastAsia="仿宋"/>
          <w:spacing w:val="6"/>
          <w:sz w:val="32"/>
          <w:szCs w:val="32"/>
        </w:rPr>
        <w:t>XXX年XX月XX日</w:t>
      </w:r>
    </w:p>
    <w:p>
      <w:pPr>
        <w:jc w:val="center"/>
        <w:rPr>
          <w:rFonts w:ascii="仿宋" w:hAnsi="仿宋" w:eastAsia="仿宋"/>
          <w:spacing w:val="6"/>
          <w:sz w:val="32"/>
          <w:szCs w:val="32"/>
        </w:rPr>
      </w:pPr>
    </w:p>
    <w:sectPr>
      <w:footerReference r:id="rId3" w:type="default"/>
      <w:pgSz w:w="11906" w:h="16838"/>
      <w:pgMar w:top="1361" w:right="1797" w:bottom="136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 w:name="文星仿宋">
    <w:panose1 w:val="02010604000101010101"/>
    <w:charset w:val="86"/>
    <w:family w:val="modern"/>
    <w:pitch w:val="default"/>
    <w:sig w:usb0="00000001"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34518"/>
    </w:sdtPr>
    <w:sdtContent>
      <w:p>
        <w:pPr>
          <w:pStyle w:val="5"/>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iNTUyMmU3Yjk0ODkwZTFiYTFmOWE1MTg4Njg3NDMifQ=="/>
  </w:docVars>
  <w:rsids>
    <w:rsidRoot w:val="00157B5C"/>
    <w:rsid w:val="000023C2"/>
    <w:rsid w:val="00032FA8"/>
    <w:rsid w:val="000363B4"/>
    <w:rsid w:val="00037F22"/>
    <w:rsid w:val="000436C4"/>
    <w:rsid w:val="0005551A"/>
    <w:rsid w:val="00064E9C"/>
    <w:rsid w:val="00084A33"/>
    <w:rsid w:val="000871CB"/>
    <w:rsid w:val="00087730"/>
    <w:rsid w:val="000A529A"/>
    <w:rsid w:val="000D4687"/>
    <w:rsid w:val="000F108F"/>
    <w:rsid w:val="001266B9"/>
    <w:rsid w:val="001463D3"/>
    <w:rsid w:val="0015060A"/>
    <w:rsid w:val="00157B5C"/>
    <w:rsid w:val="00187BA8"/>
    <w:rsid w:val="00193F77"/>
    <w:rsid w:val="001B431F"/>
    <w:rsid w:val="001C0EB4"/>
    <w:rsid w:val="001D31F6"/>
    <w:rsid w:val="001D61FD"/>
    <w:rsid w:val="001E3E61"/>
    <w:rsid w:val="001E4CA5"/>
    <w:rsid w:val="001E7892"/>
    <w:rsid w:val="001F5D35"/>
    <w:rsid w:val="00202923"/>
    <w:rsid w:val="00227341"/>
    <w:rsid w:val="002326BC"/>
    <w:rsid w:val="002455E3"/>
    <w:rsid w:val="00260BA2"/>
    <w:rsid w:val="00281173"/>
    <w:rsid w:val="00292B71"/>
    <w:rsid w:val="00297497"/>
    <w:rsid w:val="002A6F00"/>
    <w:rsid w:val="002C0D52"/>
    <w:rsid w:val="002E2800"/>
    <w:rsid w:val="002E5008"/>
    <w:rsid w:val="002E6C43"/>
    <w:rsid w:val="002E6E44"/>
    <w:rsid w:val="002E6F9B"/>
    <w:rsid w:val="002F50BE"/>
    <w:rsid w:val="00316F3B"/>
    <w:rsid w:val="00347717"/>
    <w:rsid w:val="003503AA"/>
    <w:rsid w:val="00381875"/>
    <w:rsid w:val="003A0AA5"/>
    <w:rsid w:val="003A7393"/>
    <w:rsid w:val="003B25A1"/>
    <w:rsid w:val="003C0A4E"/>
    <w:rsid w:val="003C2F92"/>
    <w:rsid w:val="003C3BA9"/>
    <w:rsid w:val="00400238"/>
    <w:rsid w:val="004004CA"/>
    <w:rsid w:val="0040455A"/>
    <w:rsid w:val="00405B66"/>
    <w:rsid w:val="0042447A"/>
    <w:rsid w:val="00477421"/>
    <w:rsid w:val="004A2CE6"/>
    <w:rsid w:val="004A7D9E"/>
    <w:rsid w:val="004B10E2"/>
    <w:rsid w:val="004C6536"/>
    <w:rsid w:val="004E51DE"/>
    <w:rsid w:val="00503EE2"/>
    <w:rsid w:val="005146E0"/>
    <w:rsid w:val="00546FDB"/>
    <w:rsid w:val="00552E9C"/>
    <w:rsid w:val="005745C4"/>
    <w:rsid w:val="00582A2B"/>
    <w:rsid w:val="005A7682"/>
    <w:rsid w:val="005B35F5"/>
    <w:rsid w:val="005D1E6B"/>
    <w:rsid w:val="005D277D"/>
    <w:rsid w:val="005E26A7"/>
    <w:rsid w:val="005E2FE8"/>
    <w:rsid w:val="005F6B60"/>
    <w:rsid w:val="00605F2F"/>
    <w:rsid w:val="006118C9"/>
    <w:rsid w:val="00613894"/>
    <w:rsid w:val="00630D86"/>
    <w:rsid w:val="00637D03"/>
    <w:rsid w:val="00645D3A"/>
    <w:rsid w:val="006844F8"/>
    <w:rsid w:val="006A314A"/>
    <w:rsid w:val="006A7FCD"/>
    <w:rsid w:val="006B3FC2"/>
    <w:rsid w:val="006C386F"/>
    <w:rsid w:val="006D1A55"/>
    <w:rsid w:val="006D2DF7"/>
    <w:rsid w:val="006E5761"/>
    <w:rsid w:val="006F06CC"/>
    <w:rsid w:val="006F7D07"/>
    <w:rsid w:val="007015D2"/>
    <w:rsid w:val="00703EE6"/>
    <w:rsid w:val="007203E5"/>
    <w:rsid w:val="00746E60"/>
    <w:rsid w:val="00751F3E"/>
    <w:rsid w:val="00752586"/>
    <w:rsid w:val="0075432B"/>
    <w:rsid w:val="0076547C"/>
    <w:rsid w:val="007709B0"/>
    <w:rsid w:val="007B0FDC"/>
    <w:rsid w:val="007B5D86"/>
    <w:rsid w:val="007C5912"/>
    <w:rsid w:val="007C6063"/>
    <w:rsid w:val="007D35A6"/>
    <w:rsid w:val="007D51F2"/>
    <w:rsid w:val="007E3018"/>
    <w:rsid w:val="007E3712"/>
    <w:rsid w:val="007F57B8"/>
    <w:rsid w:val="00832AC0"/>
    <w:rsid w:val="008517FA"/>
    <w:rsid w:val="00865ACF"/>
    <w:rsid w:val="00887347"/>
    <w:rsid w:val="00896CD3"/>
    <w:rsid w:val="008D5BB2"/>
    <w:rsid w:val="008F28F7"/>
    <w:rsid w:val="00907364"/>
    <w:rsid w:val="009147CF"/>
    <w:rsid w:val="00934036"/>
    <w:rsid w:val="009416E7"/>
    <w:rsid w:val="00946A78"/>
    <w:rsid w:val="00956B95"/>
    <w:rsid w:val="0095709A"/>
    <w:rsid w:val="009616B4"/>
    <w:rsid w:val="00983E26"/>
    <w:rsid w:val="00993640"/>
    <w:rsid w:val="009F1A3F"/>
    <w:rsid w:val="009F73C9"/>
    <w:rsid w:val="00A15565"/>
    <w:rsid w:val="00A16A45"/>
    <w:rsid w:val="00A23BA5"/>
    <w:rsid w:val="00A457B2"/>
    <w:rsid w:val="00A51660"/>
    <w:rsid w:val="00A54CE6"/>
    <w:rsid w:val="00A6160C"/>
    <w:rsid w:val="00A62399"/>
    <w:rsid w:val="00A8432D"/>
    <w:rsid w:val="00A91D29"/>
    <w:rsid w:val="00A95621"/>
    <w:rsid w:val="00A95957"/>
    <w:rsid w:val="00A95EEE"/>
    <w:rsid w:val="00B02778"/>
    <w:rsid w:val="00B15EB6"/>
    <w:rsid w:val="00B176FB"/>
    <w:rsid w:val="00B25C29"/>
    <w:rsid w:val="00B36332"/>
    <w:rsid w:val="00B41A91"/>
    <w:rsid w:val="00B57017"/>
    <w:rsid w:val="00B63411"/>
    <w:rsid w:val="00B674F5"/>
    <w:rsid w:val="00B67FB0"/>
    <w:rsid w:val="00B80D10"/>
    <w:rsid w:val="00B83475"/>
    <w:rsid w:val="00B97C42"/>
    <w:rsid w:val="00BA0343"/>
    <w:rsid w:val="00BA2B58"/>
    <w:rsid w:val="00BA786C"/>
    <w:rsid w:val="00BB057F"/>
    <w:rsid w:val="00C21002"/>
    <w:rsid w:val="00C21E61"/>
    <w:rsid w:val="00C635F0"/>
    <w:rsid w:val="00C75392"/>
    <w:rsid w:val="00C82384"/>
    <w:rsid w:val="00C82D22"/>
    <w:rsid w:val="00C97CA5"/>
    <w:rsid w:val="00CC3D5A"/>
    <w:rsid w:val="00CC548E"/>
    <w:rsid w:val="00CF02CA"/>
    <w:rsid w:val="00D10C50"/>
    <w:rsid w:val="00D17E3A"/>
    <w:rsid w:val="00D277E1"/>
    <w:rsid w:val="00D305C3"/>
    <w:rsid w:val="00D4118F"/>
    <w:rsid w:val="00D47C40"/>
    <w:rsid w:val="00D82107"/>
    <w:rsid w:val="00D835CE"/>
    <w:rsid w:val="00D94675"/>
    <w:rsid w:val="00DA4E19"/>
    <w:rsid w:val="00DC74DB"/>
    <w:rsid w:val="00DD668F"/>
    <w:rsid w:val="00DD7BC4"/>
    <w:rsid w:val="00DF2064"/>
    <w:rsid w:val="00E02D89"/>
    <w:rsid w:val="00E0544B"/>
    <w:rsid w:val="00E05B0D"/>
    <w:rsid w:val="00E079EE"/>
    <w:rsid w:val="00E1630E"/>
    <w:rsid w:val="00E168FA"/>
    <w:rsid w:val="00E469FD"/>
    <w:rsid w:val="00E56FF8"/>
    <w:rsid w:val="00E72FB2"/>
    <w:rsid w:val="00EA3B25"/>
    <w:rsid w:val="00EC17C8"/>
    <w:rsid w:val="00EC2D4E"/>
    <w:rsid w:val="00EC432D"/>
    <w:rsid w:val="00ED419A"/>
    <w:rsid w:val="00ED542A"/>
    <w:rsid w:val="00EE530F"/>
    <w:rsid w:val="00F11055"/>
    <w:rsid w:val="00F14B8C"/>
    <w:rsid w:val="00F15166"/>
    <w:rsid w:val="00F2756D"/>
    <w:rsid w:val="00F27F89"/>
    <w:rsid w:val="00F31077"/>
    <w:rsid w:val="00F32517"/>
    <w:rsid w:val="00F534C2"/>
    <w:rsid w:val="00F54B50"/>
    <w:rsid w:val="00F552E1"/>
    <w:rsid w:val="00F567CC"/>
    <w:rsid w:val="00F700BF"/>
    <w:rsid w:val="00F769F1"/>
    <w:rsid w:val="00F80334"/>
    <w:rsid w:val="00FA2C12"/>
    <w:rsid w:val="00FA6206"/>
    <w:rsid w:val="00FB48B6"/>
    <w:rsid w:val="00FF52BB"/>
    <w:rsid w:val="01640EC1"/>
    <w:rsid w:val="0E607C41"/>
    <w:rsid w:val="10774DAD"/>
    <w:rsid w:val="217643B5"/>
    <w:rsid w:val="355D367E"/>
    <w:rsid w:val="50C26E5B"/>
    <w:rsid w:val="77B557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unhideWhenUsed/>
    <w:uiPriority w:val="0"/>
    <w:pPr>
      <w:jc w:val="left"/>
    </w:pPr>
  </w:style>
  <w:style w:type="paragraph" w:styleId="3">
    <w:name w:val="Date"/>
    <w:basedOn w:val="1"/>
    <w:next w:val="1"/>
    <w:link w:val="13"/>
    <w:qFormat/>
    <w:uiPriority w:val="0"/>
    <w:pPr>
      <w:ind w:left="100" w:leftChars="2500"/>
    </w:pPr>
  </w:style>
  <w:style w:type="paragraph" w:styleId="4">
    <w:name w:val="Balloon Text"/>
    <w:basedOn w:val="1"/>
    <w:link w:val="14"/>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9">
    <w:name w:val="annotation reference"/>
    <w:basedOn w:val="8"/>
    <w:unhideWhenUsed/>
    <w:uiPriority w:val="0"/>
    <w:rPr>
      <w:sz w:val="21"/>
      <w:szCs w:val="21"/>
    </w:rPr>
  </w:style>
  <w:style w:type="character" w:customStyle="1" w:styleId="10">
    <w:name w:val="页眉 Char"/>
    <w:basedOn w:val="8"/>
    <w:link w:val="6"/>
    <w:qFormat/>
    <w:uiPriority w:val="0"/>
    <w:rPr>
      <w:kern w:val="2"/>
      <w:sz w:val="18"/>
      <w:szCs w:val="18"/>
    </w:rPr>
  </w:style>
  <w:style w:type="character" w:customStyle="1" w:styleId="11">
    <w:name w:val="页脚 Char"/>
    <w:basedOn w:val="8"/>
    <w:link w:val="5"/>
    <w:qFormat/>
    <w:uiPriority w:val="99"/>
    <w:rPr>
      <w:kern w:val="2"/>
      <w:sz w:val="18"/>
      <w:szCs w:val="18"/>
    </w:rPr>
  </w:style>
  <w:style w:type="paragraph" w:styleId="12">
    <w:name w:val="List Paragraph"/>
    <w:basedOn w:val="1"/>
    <w:unhideWhenUsed/>
    <w:qFormat/>
    <w:uiPriority w:val="99"/>
    <w:pPr>
      <w:ind w:firstLine="420" w:firstLineChars="200"/>
    </w:pPr>
  </w:style>
  <w:style w:type="character" w:customStyle="1" w:styleId="13">
    <w:name w:val="日期 Char"/>
    <w:basedOn w:val="8"/>
    <w:link w:val="3"/>
    <w:qFormat/>
    <w:uiPriority w:val="0"/>
    <w:rPr>
      <w:kern w:val="2"/>
      <w:sz w:val="21"/>
      <w:szCs w:val="24"/>
    </w:rPr>
  </w:style>
  <w:style w:type="character" w:customStyle="1" w:styleId="14">
    <w:name w:val="批注框文本 Char"/>
    <w:basedOn w:val="8"/>
    <w:link w:val="4"/>
    <w:uiPriority w:val="0"/>
    <w:rPr>
      <w:kern w:val="2"/>
      <w:sz w:val="18"/>
      <w:szCs w:val="18"/>
    </w:rPr>
  </w:style>
  <w:style w:type="character" w:customStyle="1" w:styleId="15">
    <w:name w:val="批注文字 Char"/>
    <w:basedOn w:val="8"/>
    <w:link w:val="2"/>
    <w:uiPriority w:val="0"/>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635FF6-9F52-49D8-B9FF-90FE9A99F079}">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7</Pages>
  <Words>457</Words>
  <Characters>2608</Characters>
  <Lines>21</Lines>
  <Paragraphs>6</Paragraphs>
  <TotalTime>127</TotalTime>
  <ScaleCrop>false</ScaleCrop>
  <LinksUpToDate>false</LinksUpToDate>
  <CharactersWithSpaces>3059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2023-12-01T08:50:00Z</dcterms:created>
  <dc:creator>MX</dc:creator>
  <cp:lastModifiedBy>admin</cp:lastModifiedBy>
  <cp:lastPrinted>2021-07-30T02:58:00Z</cp:lastPrinted>
  <dcterms:modified xsi:type="dcterms:W3CDTF">2023-12-01T11:34:32Z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AD3F54D3AEC64A0AA036574D001CA716_13</vt:lpwstr>
  </property>
</Properties>
</file>