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Theme="majorEastAsia" w:hAnsiTheme="majorEastAsia" w:eastAsiaTheme="majorEastAsia"/>
          <w:b/>
          <w:kern w:val="0"/>
          <w:sz w:val="48"/>
          <w:szCs w:val="48"/>
        </w:rPr>
      </w:pPr>
      <w:r>
        <w:rPr>
          <w:rFonts w:hint="eastAsia" w:asciiTheme="majorEastAsia" w:hAnsiTheme="majorEastAsia" w:eastAsiaTheme="majorEastAsia"/>
          <w:b/>
          <w:kern w:val="0"/>
          <w:sz w:val="48"/>
          <w:szCs w:val="48"/>
        </w:rPr>
        <w:t>梅州市嘉应粮食交易中心</w:t>
      </w:r>
    </w:p>
    <w:p>
      <w:pPr>
        <w:autoSpaceDE w:val="0"/>
        <w:autoSpaceDN w:val="0"/>
        <w:adjustRightInd w:val="0"/>
        <w:jc w:val="center"/>
        <w:rPr>
          <w:rFonts w:asciiTheme="majorEastAsia" w:hAnsiTheme="majorEastAsia" w:eastAsiaTheme="majorEastAsia"/>
          <w:b/>
          <w:kern w:val="0"/>
          <w:sz w:val="48"/>
          <w:szCs w:val="48"/>
        </w:rPr>
      </w:pPr>
      <w:r>
        <w:rPr>
          <w:rFonts w:hint="eastAsia" w:asciiTheme="majorEastAsia" w:hAnsiTheme="majorEastAsia" w:eastAsiaTheme="majorEastAsia"/>
          <w:b/>
          <w:kern w:val="0"/>
          <w:sz w:val="48"/>
          <w:szCs w:val="48"/>
          <w:lang w:val="en-US" w:eastAsia="zh-CN"/>
        </w:rPr>
        <w:t>动态</w:t>
      </w:r>
      <w:r>
        <w:rPr>
          <w:rFonts w:hint="eastAsia" w:asciiTheme="majorEastAsia" w:hAnsiTheme="majorEastAsia" w:eastAsiaTheme="majorEastAsia"/>
          <w:b/>
          <w:kern w:val="0"/>
          <w:sz w:val="48"/>
          <w:szCs w:val="48"/>
        </w:rPr>
        <w:t>食用植物油竞价采购交易合同</w:t>
      </w:r>
    </w:p>
    <w:p>
      <w:pPr>
        <w:autoSpaceDE w:val="0"/>
        <w:autoSpaceDN w:val="0"/>
        <w:adjustRightInd w:val="0"/>
        <w:rPr>
          <w:rFonts w:hint="eastAsia" w:ascii="宋体" w:hAnsi="宋体"/>
          <w:kern w:val="0"/>
          <w:sz w:val="28"/>
          <w:szCs w:val="28"/>
        </w:rPr>
      </w:pPr>
    </w:p>
    <w:p>
      <w:pPr>
        <w:autoSpaceDE w:val="0"/>
        <w:autoSpaceDN w:val="0"/>
        <w:adjustRightInd w:val="0"/>
        <w:rPr>
          <w:rFonts w:hint="eastAsia" w:ascii="宋体" w:hAnsi="宋体"/>
          <w:kern w:val="0"/>
          <w:sz w:val="28"/>
          <w:szCs w:val="28"/>
        </w:rPr>
      </w:pPr>
      <w:r>
        <w:rPr>
          <w:rFonts w:hint="eastAsia" w:ascii="宋体" w:hAnsi="宋体"/>
          <w:kern w:val="0"/>
          <w:sz w:val="28"/>
          <w:szCs w:val="28"/>
        </w:rPr>
        <w:t>合同编号：</w:t>
      </w:r>
    </w:p>
    <w:p>
      <w:pPr>
        <w:autoSpaceDE w:val="0"/>
        <w:autoSpaceDN w:val="0"/>
        <w:adjustRightInd w:val="0"/>
        <w:rPr>
          <w:rFonts w:ascii="宋体" w:hAnsi="宋体"/>
          <w:kern w:val="0"/>
          <w:sz w:val="28"/>
          <w:szCs w:val="28"/>
        </w:rPr>
      </w:pPr>
      <w:r>
        <w:rPr>
          <w:rFonts w:hint="eastAsia" w:ascii="宋体" w:hAnsi="宋体"/>
          <w:kern w:val="0"/>
          <w:sz w:val="28"/>
          <w:szCs w:val="28"/>
        </w:rPr>
        <w:t>买方全称：平远县平粮粮食收储有限公司</w:t>
      </w:r>
    </w:p>
    <w:p>
      <w:pPr>
        <w:rPr>
          <w:sz w:val="28"/>
        </w:rPr>
      </w:pPr>
      <w:r>
        <w:rPr>
          <w:rFonts w:hint="eastAsia" w:ascii="宋体" w:hAnsi="宋体"/>
          <w:kern w:val="0"/>
          <w:sz w:val="28"/>
          <w:szCs w:val="28"/>
        </w:rPr>
        <w:t>卖方全称：</w:t>
      </w:r>
    </w:p>
    <w:p>
      <w:pPr>
        <w:autoSpaceDE w:val="0"/>
        <w:autoSpaceDN w:val="0"/>
        <w:adjustRightInd w:val="0"/>
        <w:spacing w:after="240"/>
        <w:rPr>
          <w:rFonts w:ascii="宋体" w:hAnsi="宋体"/>
          <w:kern w:val="0"/>
          <w:sz w:val="24"/>
        </w:rPr>
      </w:pPr>
      <w:r>
        <w:rPr>
          <w:rFonts w:hint="eastAsia" w:ascii="宋体" w:hAnsi="宋体"/>
          <w:kern w:val="0"/>
          <w:sz w:val="28"/>
        </w:rPr>
        <w:t xml:space="preserve"> </w:t>
      </w:r>
      <w:r>
        <w:rPr>
          <w:rFonts w:hint="eastAsia" w:ascii="宋体" w:hAnsi="宋体"/>
          <w:kern w:val="0"/>
          <w:sz w:val="24"/>
        </w:rPr>
        <w:t xml:space="preserve"> 一</w:t>
      </w:r>
      <w:r>
        <w:rPr>
          <w:rFonts w:hint="eastAsia" w:ascii="宋体" w:hAnsi="宋体"/>
          <w:b/>
          <w:bCs/>
          <w:kern w:val="0"/>
          <w:sz w:val="24"/>
        </w:rPr>
        <w:t>、成交标的</w:t>
      </w:r>
      <w:r>
        <w:rPr>
          <w:rFonts w:hint="eastAsia" w:ascii="宋体" w:hAnsi="宋体"/>
          <w:kern w:val="0"/>
          <w:sz w:val="24"/>
        </w:rPr>
        <w:t xml:space="preserve">（见下表）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5"/>
        <w:gridCol w:w="1967"/>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标的号</w:t>
            </w:r>
          </w:p>
        </w:tc>
        <w:tc>
          <w:tcPr>
            <w:tcW w:w="196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jc w:val="center"/>
              <w:rPr>
                <w:rFonts w:ascii="宋体" w:hAnsi="宋体" w:eastAsia="宋体"/>
                <w:kern w:val="2"/>
                <w:sz w:val="24"/>
              </w:rPr>
            </w:pPr>
            <w:r>
              <w:rPr>
                <w:rFonts w:hint="eastAsia" w:ascii="宋体" w:hAnsi="宋体" w:eastAsia="宋体"/>
                <w:kern w:val="2"/>
                <w:sz w:val="24"/>
              </w:rPr>
              <w:t>2023年11月14日之后生产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5" w:type="dxa"/>
            <w:tcBorders>
              <w:top w:val="single" w:color="auto" w:sz="4" w:space="0"/>
              <w:left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品种</w:t>
            </w:r>
          </w:p>
        </w:tc>
        <w:tc>
          <w:tcPr>
            <w:tcW w:w="1967" w:type="dxa"/>
            <w:tcBorders>
              <w:top w:val="single" w:color="auto" w:sz="4" w:space="0"/>
              <w:left w:val="single" w:color="auto" w:sz="4" w:space="0"/>
              <w:right w:val="single" w:color="auto" w:sz="4" w:space="0"/>
            </w:tcBorders>
            <w:vAlign w:val="center"/>
          </w:tcPr>
          <w:p>
            <w:pPr>
              <w:pStyle w:val="3"/>
              <w:spacing w:line="240" w:lineRule="auto"/>
              <w:ind w:firstLine="0" w:firstLineChars="0"/>
              <w:jc w:val="center"/>
              <w:rPr>
                <w:rFonts w:ascii="宋体" w:hAnsi="宋体" w:eastAsia="宋体"/>
                <w:kern w:val="2"/>
                <w:sz w:val="24"/>
              </w:rPr>
            </w:pPr>
            <w:r>
              <w:rPr>
                <w:rFonts w:hint="eastAsia" w:ascii="宋体" w:hAnsi="宋体" w:eastAsia="宋体"/>
                <w:kern w:val="2"/>
                <w:sz w:val="24"/>
              </w:rPr>
              <w:t>食用植物油</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lang w:val="en-US" w:eastAsia="zh-CN"/>
              </w:rPr>
              <w:t xml:space="preserve">        </w:t>
            </w:r>
            <w:r>
              <w:rPr>
                <w:rFonts w:hint="eastAsia" w:ascii="宋体" w:hAnsi="宋体" w:eastAsia="宋体"/>
                <w:kern w:val="2"/>
                <w:sz w:val="24"/>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5" w:type="dxa"/>
            <w:tcBorders>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等级</w:t>
            </w:r>
          </w:p>
        </w:tc>
        <w:tc>
          <w:tcPr>
            <w:tcW w:w="1967" w:type="dxa"/>
            <w:tcBorders>
              <w:left w:val="single" w:color="auto" w:sz="4" w:space="0"/>
              <w:bottom w:val="single" w:color="auto" w:sz="4" w:space="0"/>
              <w:right w:val="single" w:color="auto" w:sz="4" w:space="0"/>
            </w:tcBorders>
            <w:vAlign w:val="center"/>
          </w:tcPr>
          <w:p>
            <w:pPr>
              <w:pStyle w:val="3"/>
              <w:spacing w:line="240" w:lineRule="auto"/>
              <w:ind w:firstLine="0" w:firstLineChars="0"/>
              <w:jc w:val="center"/>
              <w:rPr>
                <w:rFonts w:ascii="宋体" w:hAnsi="宋体" w:eastAsia="宋体"/>
                <w:kern w:val="2"/>
                <w:sz w:val="24"/>
              </w:rPr>
            </w:pPr>
            <w:r>
              <w:rPr>
                <w:rFonts w:hint="eastAsia" w:ascii="宋体" w:hAnsi="宋体" w:eastAsia="宋体"/>
                <w:kern w:val="2"/>
                <w:sz w:val="24"/>
              </w:rPr>
              <w:t>二级以上</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960" w:firstLineChars="400"/>
              <w:rPr>
                <w:rFonts w:ascii="宋体" w:hAnsi="宋体" w:eastAsia="宋体"/>
                <w:kern w:val="2"/>
                <w:sz w:val="24"/>
              </w:rPr>
            </w:pPr>
            <w:r>
              <w:rPr>
                <w:rFonts w:hint="eastAsia" w:ascii="宋体" w:hAnsi="宋体" w:eastAsia="宋体"/>
                <w:kern w:val="2"/>
                <w:sz w:val="24"/>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产地</w:t>
            </w:r>
          </w:p>
        </w:tc>
        <w:tc>
          <w:tcPr>
            <w:tcW w:w="196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jc w:val="center"/>
              <w:rPr>
                <w:rFonts w:ascii="宋体" w:hAnsi="宋体" w:eastAsia="宋体"/>
                <w:kern w:val="2"/>
                <w:sz w:val="24"/>
              </w:rPr>
            </w:pPr>
            <w:r>
              <w:rPr>
                <w:rFonts w:hint="eastAsia" w:ascii="宋体" w:hAnsi="宋体" w:eastAsia="宋体"/>
                <w:sz w:val="24"/>
              </w:rPr>
              <w:t>国内</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960" w:firstLineChars="400"/>
              <w:rPr>
                <w:rFonts w:ascii="宋体" w:hAnsi="宋体" w:eastAsia="宋体"/>
                <w:kern w:val="2"/>
                <w:sz w:val="24"/>
              </w:rPr>
            </w:pPr>
            <w:r>
              <w:rPr>
                <w:rFonts w:hint="eastAsia" w:ascii="宋体" w:hAnsi="宋体" w:eastAsia="宋体"/>
                <w:kern w:val="2"/>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交货方式</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仓库堆好交货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交货期限</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2024年3月14日—2024年3月24日，100%的标的数量送抵指定仓库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存放地点</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平远县平粮粮食收储有限公司坝头粮库P5仓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2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包装要求</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≤10升/桶      包装物不计重、不计价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122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质量、卫生标准</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执行《食品安全国家标准 植物油》（GB2716-2018）相关标准的规定。</w:t>
            </w:r>
          </w:p>
        </w:tc>
      </w:tr>
    </w:tbl>
    <w:p>
      <w:pPr>
        <w:autoSpaceDE w:val="0"/>
        <w:autoSpaceDN w:val="0"/>
        <w:adjustRightInd w:val="0"/>
        <w:spacing w:before="240" w:line="276" w:lineRule="auto"/>
        <w:ind w:firstLine="482" w:firstLineChars="200"/>
        <w:rPr>
          <w:rFonts w:ascii="宋体" w:hAnsi="宋体"/>
          <w:kern w:val="0"/>
          <w:sz w:val="24"/>
        </w:rPr>
      </w:pPr>
      <w:r>
        <w:rPr>
          <w:rFonts w:hint="eastAsia" w:ascii="宋体" w:hAnsi="宋体"/>
          <w:b/>
          <w:bCs/>
          <w:sz w:val="24"/>
        </w:rPr>
        <w:t>二、验收交货方式：</w:t>
      </w:r>
      <w:r>
        <w:rPr>
          <w:rFonts w:hint="eastAsia" w:ascii="宋体" w:hAnsi="宋体"/>
          <w:sz w:val="24"/>
        </w:rPr>
        <w:t>卖方按国标规定的质量标准和卫生标准的要求，提交合格检验报告单，以技术监督部门检验合格的计量工具进行验斤，</w:t>
      </w:r>
      <w:r>
        <w:rPr>
          <w:rFonts w:hint="eastAsia" w:ascii="宋体" w:hAnsi="宋体"/>
          <w:kern w:val="0"/>
          <w:sz w:val="24"/>
        </w:rPr>
        <w:t>由买方验质合格后过磅或点件计重（统一按每升0.92公斤计），</w:t>
      </w:r>
      <w:r>
        <w:rPr>
          <w:rFonts w:hint="eastAsia" w:ascii="宋体" w:hAnsi="宋体"/>
          <w:sz w:val="24"/>
        </w:rPr>
        <w:t>经双方确认后，</w:t>
      </w:r>
      <w:r>
        <w:rPr>
          <w:rFonts w:hint="eastAsia" w:ascii="宋体" w:hAnsi="宋体"/>
          <w:kern w:val="0"/>
          <w:sz w:val="24"/>
        </w:rPr>
        <w:t>买方出具入库凭证。入库食用植物油</w:t>
      </w:r>
      <w:r>
        <w:rPr>
          <w:rFonts w:hint="eastAsia" w:ascii="宋体" w:hAnsi="宋体"/>
          <w:sz w:val="24"/>
        </w:rPr>
        <w:t>如果质量不符合本合同约定质量标准的，买方有权不予接收，货物由卖方自行处理，并承担所发生费用。</w:t>
      </w:r>
    </w:p>
    <w:p>
      <w:pPr>
        <w:autoSpaceDE w:val="0"/>
        <w:autoSpaceDN w:val="0"/>
        <w:adjustRightInd w:val="0"/>
        <w:spacing w:before="240" w:line="276" w:lineRule="auto"/>
        <w:ind w:firstLine="482" w:firstLineChars="200"/>
        <w:rPr>
          <w:rFonts w:ascii="宋体" w:hAnsi="宋体"/>
          <w:sz w:val="24"/>
        </w:rPr>
      </w:pPr>
      <w:r>
        <w:rPr>
          <w:rFonts w:hint="eastAsia" w:ascii="宋体" w:hAnsi="宋体"/>
          <w:b/>
          <w:bCs/>
          <w:sz w:val="24"/>
        </w:rPr>
        <w:t>三、费用承担：</w:t>
      </w:r>
      <w:r>
        <w:rPr>
          <w:rFonts w:hint="eastAsia" w:ascii="宋体" w:hAnsi="宋体"/>
          <w:sz w:val="24"/>
        </w:rPr>
        <w:t>卖方承担交货前的一切费用，包括仓内叠堆、交货短途费用、过磅费等，买方不承担任何费用。</w:t>
      </w:r>
    </w:p>
    <w:p>
      <w:pPr>
        <w:autoSpaceDE w:val="0"/>
        <w:autoSpaceDN w:val="0"/>
        <w:adjustRightInd w:val="0"/>
        <w:spacing w:before="240" w:line="276" w:lineRule="auto"/>
        <w:ind w:firstLine="482" w:firstLineChars="200"/>
        <w:rPr>
          <w:rFonts w:ascii="宋体" w:hAnsi="宋体"/>
          <w:kern w:val="0"/>
          <w:sz w:val="24"/>
        </w:rPr>
      </w:pPr>
      <w:r>
        <w:rPr>
          <w:rFonts w:hint="eastAsia" w:ascii="宋体" w:hAnsi="宋体"/>
          <w:b/>
          <w:bCs/>
          <w:sz w:val="24"/>
        </w:rPr>
        <w:t>四、货款结算：</w:t>
      </w:r>
      <w:r>
        <w:rPr>
          <w:rFonts w:hint="eastAsia" w:ascii="宋体" w:hAnsi="宋体"/>
          <w:kern w:val="0"/>
          <w:sz w:val="24"/>
        </w:rPr>
        <w:t xml:space="preserve">食用植物油全部数量入库并经买方确认合格后，买方在收到卖方提供的有效销售发票后5个工作日内结清全部货款（如因农发行贷款放贷未到位除外）。 </w:t>
      </w:r>
    </w:p>
    <w:p>
      <w:pPr>
        <w:pStyle w:val="4"/>
        <w:spacing w:before="240" w:line="240" w:lineRule="auto"/>
        <w:ind w:firstLine="482"/>
        <w:rPr>
          <w:rFonts w:ascii="宋体" w:hAnsi="宋体" w:eastAsia="宋体"/>
        </w:rPr>
      </w:pPr>
      <w:r>
        <w:rPr>
          <w:rFonts w:hint="eastAsia" w:ascii="宋体" w:hAnsi="宋体" w:eastAsia="宋体"/>
          <w:b/>
        </w:rPr>
        <w:t>五、结算凭证：</w:t>
      </w:r>
      <w:r>
        <w:rPr>
          <w:rFonts w:hint="eastAsia" w:ascii="宋体" w:hAnsi="宋体" w:eastAsia="宋体"/>
        </w:rPr>
        <w:t>卖方提供本单位开出的有效货物销售增值税专用发票。</w:t>
      </w:r>
    </w:p>
    <w:p>
      <w:pPr>
        <w:pStyle w:val="3"/>
        <w:spacing w:before="240" w:line="276" w:lineRule="auto"/>
        <w:ind w:firstLine="482"/>
        <w:rPr>
          <w:rFonts w:ascii="宋体" w:hAnsi="宋体" w:eastAsia="宋体"/>
          <w:sz w:val="24"/>
        </w:rPr>
      </w:pPr>
      <w:r>
        <w:rPr>
          <w:rFonts w:hint="eastAsia" w:ascii="宋体" w:hAnsi="宋体" w:eastAsia="宋体"/>
          <w:b/>
          <w:bCs/>
          <w:sz w:val="24"/>
        </w:rPr>
        <w:t>六、违约责任：</w:t>
      </w:r>
      <w:r>
        <w:rPr>
          <w:rFonts w:hint="eastAsia" w:ascii="宋体" w:hAnsi="宋体" w:eastAsia="宋体"/>
          <w:sz w:val="24"/>
        </w:rPr>
        <w:t>如有任何一方违约，违约部分保证金划归对方，并承担对方违约部分交易手续费，交易中心不承担经济责任。</w:t>
      </w:r>
    </w:p>
    <w:p>
      <w:pPr>
        <w:autoSpaceDE w:val="0"/>
        <w:autoSpaceDN w:val="0"/>
        <w:adjustRightInd w:val="0"/>
        <w:spacing w:before="240" w:line="276" w:lineRule="auto"/>
        <w:ind w:firstLine="482" w:firstLineChars="200"/>
        <w:rPr>
          <w:rFonts w:ascii="宋体" w:hAnsi="宋体"/>
          <w:kern w:val="0"/>
          <w:sz w:val="24"/>
        </w:rPr>
      </w:pPr>
      <w:r>
        <w:rPr>
          <w:rFonts w:hint="eastAsia" w:ascii="宋体" w:hAnsi="宋体"/>
          <w:b/>
          <w:bCs/>
          <w:kern w:val="0"/>
          <w:sz w:val="24"/>
        </w:rPr>
        <w:t>七、争议解决：</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1.出现不明确责任情况，由交易中心协调解决；</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2.卖方逾期交货（含因质量不合格被买方拒收造成的逾期交货），逾期供货10天内，每逾期一天，按逾期交货总金额的0.1%向买方支付滞纳金；</w:t>
      </w:r>
      <w:r>
        <w:rPr>
          <w:rFonts w:hint="eastAsia" w:ascii="宋体" w:hAnsi="宋体"/>
          <w:sz w:val="24"/>
        </w:rPr>
        <w:t>超过10天的，由交易中心通知卖方停止供货，并按50元/吨扣罚中标单位逾期费</w:t>
      </w:r>
      <w:r>
        <w:rPr>
          <w:rFonts w:hint="eastAsia" w:ascii="宋体" w:hAnsi="宋体"/>
          <w:kern w:val="0"/>
          <w:sz w:val="24"/>
        </w:rPr>
        <w:t>。由于不可抗力原因导致卖方逾期交货，卖方应在一周内向买方及交易中心报告，说明货物受阻、受影响数量等情况，经交易中心核实，并征得买方同意后，相应顺延合同履行期限。</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3.买卖双方如就质量问题发生争议，双方共同抽样并委托产品质量监督检验机构检验鉴定，费用由责任方负担。</w:t>
      </w:r>
    </w:p>
    <w:p>
      <w:pPr>
        <w:autoSpaceDE w:val="0"/>
        <w:autoSpaceDN w:val="0"/>
        <w:adjustRightInd w:val="0"/>
        <w:spacing w:before="240" w:line="276" w:lineRule="auto"/>
        <w:ind w:firstLine="482" w:firstLineChars="200"/>
        <w:rPr>
          <w:rFonts w:ascii="宋体" w:hAnsi="宋体"/>
          <w:b/>
          <w:bCs/>
          <w:kern w:val="0"/>
          <w:sz w:val="24"/>
        </w:rPr>
      </w:pPr>
      <w:r>
        <w:rPr>
          <w:rFonts w:hint="eastAsia" w:ascii="宋体" w:hAnsi="宋体"/>
          <w:b/>
          <w:bCs/>
          <w:kern w:val="0"/>
          <w:sz w:val="24"/>
        </w:rPr>
        <w:t>八、本合同自签订之日起生效，双方履行完毕后，自然终止。</w:t>
      </w:r>
    </w:p>
    <w:p>
      <w:pPr>
        <w:autoSpaceDE w:val="0"/>
        <w:autoSpaceDN w:val="0"/>
        <w:adjustRightInd w:val="0"/>
        <w:spacing w:before="240" w:line="276" w:lineRule="auto"/>
        <w:ind w:firstLine="482" w:firstLineChars="200"/>
        <w:rPr>
          <w:rFonts w:hint="eastAsia" w:ascii="宋体" w:hAnsi="宋体"/>
          <w:b/>
          <w:bCs/>
          <w:kern w:val="0"/>
          <w:sz w:val="24"/>
        </w:rPr>
      </w:pPr>
      <w:r>
        <w:rPr>
          <w:rFonts w:hint="eastAsia" w:ascii="宋体" w:hAnsi="宋体"/>
          <w:b/>
          <w:bCs/>
          <w:kern w:val="0"/>
          <w:sz w:val="24"/>
        </w:rPr>
        <w:t>九、如有未尽事宜，买卖双方同意按照《梅州市嘉应粮食交易中心竞价交易规则》 《梅州市嘉应粮食交易中心竞价交易细则》的相关条款协商解决。协商不成的，提交有关部门或通过法律程序解决。</w:t>
      </w:r>
    </w:p>
    <w:p>
      <w:pPr>
        <w:autoSpaceDE w:val="0"/>
        <w:autoSpaceDN w:val="0"/>
        <w:adjustRightInd w:val="0"/>
        <w:spacing w:before="240" w:line="276" w:lineRule="auto"/>
        <w:ind w:firstLine="482" w:firstLineChars="200"/>
        <w:rPr>
          <w:rFonts w:ascii="宋体" w:hAnsi="宋体"/>
          <w:b/>
          <w:kern w:val="0"/>
          <w:sz w:val="24"/>
        </w:rPr>
      </w:pPr>
      <w:r>
        <w:rPr>
          <w:rFonts w:hint="eastAsia" w:ascii="宋体" w:hAnsi="宋体"/>
          <w:b/>
          <w:bCs/>
          <w:kern w:val="0"/>
          <w:sz w:val="24"/>
        </w:rPr>
        <w:t>十、本合同一式三份，买卖双方、确认单位各执一份。</w:t>
      </w:r>
    </w:p>
    <w:p>
      <w:pPr>
        <w:autoSpaceDE w:val="0"/>
        <w:autoSpaceDN w:val="0"/>
        <w:adjustRightInd w:val="0"/>
        <w:spacing w:before="240" w:line="460" w:lineRule="exact"/>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 xml:space="preserve">买方单位（盖章）：                  卖方单位（盖章）： </w:t>
      </w:r>
    </w:p>
    <w:p>
      <w:pPr>
        <w:autoSpaceDE w:val="0"/>
        <w:autoSpaceDN w:val="0"/>
        <w:adjustRightInd w:val="0"/>
        <w:spacing w:line="460" w:lineRule="exact"/>
        <w:rPr>
          <w:rFonts w:ascii="宋体" w:hAnsi="宋体"/>
          <w:kern w:val="0"/>
          <w:sz w:val="24"/>
        </w:rPr>
      </w:pPr>
    </w:p>
    <w:p>
      <w:pPr>
        <w:autoSpaceDE w:val="0"/>
        <w:autoSpaceDN w:val="0"/>
        <w:adjustRightInd w:val="0"/>
        <w:spacing w:line="460" w:lineRule="exact"/>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法人或代理人（签字）：              法人或代理人（签字）：</w:t>
      </w:r>
    </w:p>
    <w:p>
      <w:pPr>
        <w:spacing w:line="500" w:lineRule="exact"/>
        <w:rPr>
          <w:rFonts w:ascii="宋体" w:hAnsi="宋体"/>
          <w:kern w:val="0"/>
          <w:sz w:val="24"/>
        </w:rPr>
      </w:pPr>
    </w:p>
    <w:p>
      <w:pPr>
        <w:autoSpaceDE w:val="0"/>
        <w:autoSpaceDN w:val="0"/>
        <w:adjustRightInd w:val="0"/>
        <w:spacing w:line="500" w:lineRule="exact"/>
        <w:rPr>
          <w:rFonts w:ascii="宋体" w:hAnsi="宋体"/>
          <w:kern w:val="0"/>
          <w:sz w:val="24"/>
        </w:rPr>
      </w:pPr>
      <w:r>
        <w:rPr>
          <w:rFonts w:hint="eastAsia" w:ascii="宋体" w:hAnsi="宋体"/>
          <w:kern w:val="0"/>
          <w:sz w:val="24"/>
        </w:rPr>
        <w:t>电话（传真）：0753-8331938</w:t>
      </w:r>
    </w:p>
    <w:p>
      <w:pPr>
        <w:spacing w:line="500" w:lineRule="exact"/>
        <w:rPr>
          <w:rFonts w:ascii="宋体" w:hAnsi="宋体"/>
          <w:kern w:val="0"/>
          <w:sz w:val="24"/>
        </w:rPr>
      </w:pPr>
    </w:p>
    <w:p>
      <w:pPr>
        <w:spacing w:line="500" w:lineRule="exact"/>
        <w:rPr>
          <w:rFonts w:ascii="宋体" w:hAnsi="宋体"/>
          <w:kern w:val="0"/>
          <w:sz w:val="24"/>
        </w:rPr>
      </w:pPr>
    </w:p>
    <w:p>
      <w:pPr>
        <w:spacing w:line="500" w:lineRule="exact"/>
        <w:rPr>
          <w:rFonts w:ascii="宋体" w:hAnsi="宋体"/>
          <w:sz w:val="24"/>
        </w:rPr>
      </w:pPr>
      <w:r>
        <w:rPr>
          <w:rFonts w:hint="eastAsia" w:ascii="宋体" w:hAnsi="宋体"/>
          <w:sz w:val="24"/>
        </w:rPr>
        <w:t>确认单位：梅州市嘉应粮食交易中心有限公司</w:t>
      </w:r>
    </w:p>
    <w:p>
      <w:pPr>
        <w:spacing w:line="5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500" w:lineRule="exact"/>
        <w:ind w:firstLine="6000" w:firstLineChars="2500"/>
        <w:rPr>
          <w:rFonts w:hint="eastAsia" w:ascii="宋体" w:hAnsi="宋体"/>
          <w:sz w:val="24"/>
        </w:rPr>
        <w:sectPr>
          <w:headerReference r:id="rId3" w:type="default"/>
          <w:footerReference r:id="rId4" w:type="default"/>
          <w:footerReference r:id="rId5" w:type="even"/>
          <w:pgSz w:w="11906" w:h="16838"/>
          <w:pgMar w:top="1304" w:right="1469" w:bottom="1247" w:left="1797" w:header="851" w:footer="992" w:gutter="0"/>
          <w:cols w:space="720" w:num="1"/>
          <w:docGrid w:type="lines" w:linePitch="312" w:charSpace="0"/>
        </w:sectPr>
      </w:pPr>
      <w:r>
        <w:rPr>
          <w:rFonts w:hint="eastAsia" w:ascii="宋体" w:hAnsi="宋体"/>
          <w:sz w:val="24"/>
        </w:rPr>
        <w:t>2024年XX 月XX日</w:t>
      </w:r>
    </w:p>
    <w:p>
      <w:pPr>
        <w:jc w:val="center"/>
        <w:rPr>
          <w:rFonts w:ascii="方正小标宋简体" w:hAnsi="Times New Roman" w:eastAsia="方正小标宋简体" w:cs="Times New Roman"/>
          <w:color w:val="auto"/>
          <w:sz w:val="44"/>
          <w:szCs w:val="44"/>
        </w:rPr>
      </w:pPr>
      <w:r>
        <w:rPr>
          <w:rFonts w:hint="eastAsia" w:ascii="方正小标宋简体" w:hAnsi="Times New Roman" w:eastAsia="方正小标宋简体" w:cs="Times New Roman"/>
          <w:color w:val="auto"/>
          <w:sz w:val="44"/>
          <w:szCs w:val="44"/>
          <w:lang w:val="en-US" w:eastAsia="zh-CN"/>
        </w:rPr>
        <w:t>动态</w:t>
      </w:r>
      <w:r>
        <w:rPr>
          <w:rFonts w:hint="eastAsia" w:ascii="方正小标宋简体" w:hAnsi="Times New Roman" w:eastAsia="方正小标宋简体" w:cs="Times New Roman"/>
          <w:color w:val="auto"/>
          <w:sz w:val="44"/>
          <w:szCs w:val="44"/>
        </w:rPr>
        <w:t>食用植物油</w:t>
      </w:r>
      <w:r>
        <w:rPr>
          <w:rFonts w:hint="eastAsia" w:ascii="方正小标宋简体" w:hAnsi="Times New Roman" w:eastAsia="方正小标宋简体" w:cs="Times New Roman"/>
          <w:color w:val="auto"/>
          <w:sz w:val="44"/>
          <w:szCs w:val="44"/>
          <w:lang w:val="en-US" w:eastAsia="zh-CN"/>
        </w:rPr>
        <w:t>包干轮换</w:t>
      </w:r>
      <w:r>
        <w:rPr>
          <w:rFonts w:hint="eastAsia" w:ascii="方正小标宋简体" w:hAnsi="Times New Roman" w:eastAsia="方正小标宋简体" w:cs="Times New Roman"/>
          <w:color w:val="auto"/>
          <w:sz w:val="44"/>
          <w:szCs w:val="44"/>
        </w:rPr>
        <w:t>协议</w:t>
      </w:r>
    </w:p>
    <w:p>
      <w:pPr>
        <w:spacing w:line="600" w:lineRule="exact"/>
        <w:rPr>
          <w:rFonts w:ascii="仿宋" w:hAnsi="仿宋" w:eastAsia="仿宋"/>
          <w:color w:val="auto"/>
          <w:sz w:val="32"/>
          <w:szCs w:val="32"/>
        </w:rPr>
      </w:pPr>
    </w:p>
    <w:p>
      <w:pPr>
        <w:spacing w:line="600" w:lineRule="exact"/>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甲方：平远县平粮粮食收储有限公司</w:t>
      </w:r>
    </w:p>
    <w:p>
      <w:pPr>
        <w:spacing w:line="600" w:lineRule="exact"/>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 xml:space="preserve">乙方： </w:t>
      </w:r>
    </w:p>
    <w:p>
      <w:pPr>
        <w:spacing w:line="600" w:lineRule="exact"/>
        <w:ind w:firstLine="640" w:firstLineChars="200"/>
        <w:rPr>
          <w:rFonts w:hint="eastAsia" w:ascii="Times New Roman" w:hAnsi="Times New Roman" w:eastAsia="仿宋_GB2312"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根据《广东省粮食和物资储备局 广东省财政厅 中国农业银行广东省分行 关于进一步加强地方储粮轮换管理的通知》（粤粮调〔2020〕167号）和《广东省省级储备食用植物油管理实施细则(试行)》有关规定，平远县县级储备油轮换合作事宜</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经甲乙双方协商达成如下协议：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一、</w:t>
      </w:r>
      <w:r>
        <w:rPr>
          <w:rFonts w:hint="eastAsia" w:ascii="黑体" w:hAnsi="黑体" w:eastAsia="黑体" w:cs="黑体"/>
          <w:color w:val="auto"/>
          <w:sz w:val="32"/>
          <w:szCs w:val="32"/>
          <w:lang w:val="en-US" w:eastAsia="zh-CN"/>
        </w:rPr>
        <w:t>协议</w:t>
      </w:r>
      <w:r>
        <w:rPr>
          <w:rFonts w:hint="eastAsia" w:ascii="黑体" w:hAnsi="黑体" w:eastAsia="黑体" w:cs="黑体"/>
          <w:color w:val="auto"/>
          <w:sz w:val="32"/>
          <w:szCs w:val="32"/>
        </w:rPr>
        <w:t>标的、储存地点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本合同标的</w:t>
      </w:r>
      <w:r>
        <w:rPr>
          <w:rFonts w:hint="eastAsia" w:ascii="Times New Roman" w:hAnsi="Times New Roman" w:eastAsia="仿宋_GB2312" w:cs="Times New Roman"/>
          <w:color w:val="auto"/>
          <w:sz w:val="32"/>
          <w:szCs w:val="32"/>
          <w:lang w:eastAsia="zh-CN"/>
        </w:rPr>
        <w:t>为</w:t>
      </w:r>
      <w:r>
        <w:rPr>
          <w:rFonts w:hint="eastAsia" w:ascii="Times New Roman" w:hAnsi="Times New Roman" w:eastAsia="仿宋_GB2312" w:cs="Times New Roman"/>
          <w:color w:val="auto"/>
          <w:sz w:val="32"/>
          <w:szCs w:val="32"/>
        </w:rPr>
        <w:t>甲方储备的</w:t>
      </w:r>
      <w:r>
        <w:rPr>
          <w:rFonts w:hint="eastAsia" w:ascii="Times New Roman" w:hAnsi="Times New Roman" w:eastAsia="仿宋_GB2312" w:cs="Times New Roman"/>
          <w:color w:val="auto"/>
          <w:sz w:val="32"/>
          <w:szCs w:val="32"/>
          <w:lang w:val="en-US" w:eastAsia="zh-CN"/>
        </w:rPr>
        <w:t>48吨</w:t>
      </w:r>
      <w:r>
        <w:rPr>
          <w:rFonts w:hint="eastAsia" w:ascii="Times New Roman" w:hAnsi="Times New Roman" w:eastAsia="仿宋_GB2312" w:cs="Times New Roman"/>
          <w:color w:val="auto"/>
          <w:sz w:val="32"/>
          <w:szCs w:val="32"/>
        </w:rPr>
        <w:t>县级储备食用植物油，甲方出资67.2万元（48吨×14000元/吨=67.2万元）购入48吨小包装食用植物油存放在甲方坝头粮库P5仓，包装规格≤10升∕桶（以0.92公斤/升计，下同）。</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w:t>
      </w:r>
      <w:r>
        <w:rPr>
          <w:rFonts w:hint="eastAsia" w:ascii="黑体" w:hAnsi="黑体" w:eastAsia="黑体" w:cs="黑体"/>
          <w:color w:val="auto"/>
          <w:sz w:val="32"/>
          <w:szCs w:val="32"/>
          <w:lang w:val="en-US" w:eastAsia="zh-CN"/>
        </w:rPr>
        <w:t>轮换</w:t>
      </w:r>
      <w:r>
        <w:rPr>
          <w:rFonts w:hint="eastAsia" w:ascii="黑体" w:hAnsi="黑体" w:eastAsia="黑体" w:cs="黑体"/>
          <w:color w:val="auto"/>
          <w:sz w:val="32"/>
          <w:szCs w:val="32"/>
        </w:rPr>
        <w:t>方式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_GB2312" w:cs="Times New Roman"/>
          <w:color w:val="auto"/>
          <w:sz w:val="32"/>
          <w:szCs w:val="32"/>
        </w:rPr>
      </w:pPr>
      <w:r>
        <w:rPr>
          <w:rFonts w:hint="eastAsia" w:ascii="仿宋" w:hAnsi="仿宋" w:eastAsia="仿宋"/>
          <w:color w:val="auto"/>
          <w:sz w:val="32"/>
          <w:szCs w:val="32"/>
        </w:rPr>
        <w:t>县</w:t>
      </w:r>
      <w:r>
        <w:rPr>
          <w:rFonts w:hint="eastAsia" w:ascii="Times New Roman" w:hAnsi="Times New Roman" w:eastAsia="仿宋_GB2312" w:cs="Times New Roman"/>
          <w:color w:val="auto"/>
          <w:sz w:val="32"/>
          <w:szCs w:val="32"/>
        </w:rPr>
        <w:t>级储备油轮换采取先进先出，后进后出的滚动方式进行</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由乙方负责储备油的销售、轮换工作。双方合作前提是确保储备油任何时点</w:t>
      </w:r>
      <w:r>
        <w:rPr>
          <w:rFonts w:hint="eastAsia" w:ascii="Times New Roman" w:hAnsi="Times New Roman" w:eastAsia="仿宋_GB2312" w:cs="Times New Roman"/>
          <w:color w:val="auto"/>
          <w:sz w:val="32"/>
          <w:szCs w:val="32"/>
          <w:lang w:eastAsia="zh-CN"/>
        </w:rPr>
        <w:t>实物</w:t>
      </w:r>
      <w:r>
        <w:rPr>
          <w:rFonts w:hint="eastAsia" w:ascii="Times New Roman" w:hAnsi="Times New Roman" w:eastAsia="仿宋_GB2312" w:cs="Times New Roman"/>
          <w:color w:val="auto"/>
          <w:sz w:val="32"/>
          <w:szCs w:val="32"/>
        </w:rPr>
        <w:t>库存</w:t>
      </w:r>
      <w:r>
        <w:rPr>
          <w:rFonts w:hint="eastAsia" w:ascii="Times New Roman" w:hAnsi="Times New Roman" w:eastAsia="仿宋_GB2312" w:cs="Times New Roman"/>
          <w:color w:val="auto"/>
          <w:sz w:val="32"/>
          <w:szCs w:val="32"/>
          <w:lang w:eastAsia="zh-CN"/>
        </w:rPr>
        <w:t>不低于承储计划的</w:t>
      </w:r>
      <w:r>
        <w:rPr>
          <w:rFonts w:hint="eastAsia" w:ascii="Times New Roman" w:hAnsi="Times New Roman" w:eastAsia="仿宋_GB2312" w:cs="Times New Roman"/>
          <w:color w:val="auto"/>
          <w:sz w:val="32"/>
          <w:szCs w:val="32"/>
          <w:lang w:val="en-US" w:eastAsia="zh-CN"/>
        </w:rPr>
        <w:t>90%</w:t>
      </w:r>
      <w:r>
        <w:rPr>
          <w:rFonts w:hint="eastAsia" w:ascii="Times New Roman" w:hAnsi="Times New Roman" w:eastAsia="仿宋_GB2312" w:cs="Times New Roman"/>
          <w:color w:val="auto"/>
          <w:sz w:val="32"/>
          <w:szCs w:val="32"/>
        </w:rPr>
        <w:t>(即48吨×90%=43.2吨)。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甲乙双方共同做好县级储备油的仓储管理、轮换管理工作，做到随时经得起政府和上级业务主管部门的检查，当政府动用储备油时，乙方应无条件保证甲方油库内有48吨食用植物油供应市场。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三、质量、卫生标准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lang w:eastAsia="zh-CN"/>
        </w:rPr>
        <w:t>采购的食用植物油为近期加工的产品，各项常规指标符合相关产品国家标准要求，储存品质指标符合宜存要求，食品安全指标符合食品安全国家标准（</w:t>
      </w:r>
      <w:r>
        <w:rPr>
          <w:rFonts w:hint="eastAsia" w:ascii="Times New Roman" w:hAnsi="Times New Roman" w:eastAsia="仿宋_GB2312" w:cs="Times New Roman"/>
          <w:color w:val="auto"/>
          <w:sz w:val="32"/>
          <w:szCs w:val="32"/>
        </w:rPr>
        <w:t>《食品安全国家标准 植物油》（GB2716-2018）</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highlight w:val="none"/>
          <w:lang w:val="en-US" w:eastAsia="zh-CN"/>
        </w:rPr>
        <w:t>相关标准</w:t>
      </w:r>
      <w:r>
        <w:rPr>
          <w:rFonts w:hint="eastAsia" w:ascii="Times New Roman" w:hAnsi="Times New Roman" w:eastAsia="仿宋_GB2312" w:cs="Times New Roman"/>
          <w:color w:val="auto"/>
          <w:sz w:val="32"/>
          <w:szCs w:val="32"/>
          <w:highlight w:val="none"/>
          <w:lang w:eastAsia="zh-CN"/>
        </w:rPr>
        <w:t>规定</w:t>
      </w:r>
      <w:r>
        <w:rPr>
          <w:rFonts w:hint="eastAsia" w:ascii="Times New Roman" w:hAnsi="Times New Roman" w:eastAsia="仿宋_GB2312" w:cs="Times New Roman"/>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四、储备油权属</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储备油权属平远县人民政府。</w:t>
      </w:r>
      <w:r>
        <w:rPr>
          <w:rFonts w:hint="eastAsia" w:ascii="仿宋_GB2312" w:hAnsi="仿宋_GB2312" w:eastAsia="仿宋_GB2312" w:cs="仿宋_GB2312"/>
          <w:color w:val="auto"/>
          <w:sz w:val="32"/>
          <w:szCs w:val="32"/>
        </w:rPr>
        <w:t>县政府需要动用储备油时，由县发展改革局委托甲方全权处理，按《平远县粮食应急预案》有关程序执行。乙方接到甲方通知后，立即封存储备油，由县政府统一调配使用。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五、甲方责任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Times New Roman" w:hAnsi="Times New Roman" w:eastAsia="仿宋_GB2312" w:cs="Times New Roman"/>
          <w:color w:val="auto"/>
          <w:sz w:val="32"/>
          <w:szCs w:val="32"/>
        </w:rPr>
        <w:t>1.甲方出资67.2万元购买县级储备油48吨。</w:t>
      </w:r>
      <w:r>
        <w:rPr>
          <w:rFonts w:hint="eastAsia" w:ascii="仿宋_GB2312" w:hAnsi="仿宋_GB2312" w:eastAsia="仿宋_GB2312" w:cs="仿宋_GB2312"/>
          <w:color w:val="auto"/>
          <w:sz w:val="32"/>
          <w:szCs w:val="32"/>
        </w:rPr>
        <w:t>为方便储备油轮换，</w:t>
      </w:r>
      <w:r>
        <w:rPr>
          <w:rFonts w:hint="eastAsia" w:ascii="仿宋_GB2312" w:hAnsi="仿宋_GB2312" w:eastAsia="仿宋_GB2312" w:cs="仿宋_GB2312"/>
          <w:color w:val="auto"/>
          <w:sz w:val="32"/>
          <w:szCs w:val="32"/>
          <w:lang w:eastAsia="zh-CN"/>
        </w:rPr>
        <w:t>根据我</w:t>
      </w:r>
      <w:r>
        <w:rPr>
          <w:rFonts w:hint="eastAsia" w:ascii="仿宋_GB2312" w:hAnsi="仿宋_GB2312" w:eastAsia="仿宋_GB2312" w:cs="仿宋_GB2312"/>
          <w:color w:val="auto"/>
          <w:sz w:val="32"/>
          <w:szCs w:val="32"/>
        </w:rPr>
        <w:t>县消费者的购买习惯，采购品种为:①中粮(东莞)粮油工业有限公司生产系列油②山东西王食品有限公司生产系列油③益海嘉里食品营销有限公司深圳分公司生产系列油(详见县级储备食用植物油采购品种目录)。合同期内乙方如需变更采购品种目录，变更的品种必须是以上三家公司生产的系列油</w:t>
      </w:r>
      <w:r>
        <w:rPr>
          <w:rFonts w:hint="eastAsia" w:ascii="仿宋_GB2312" w:hAnsi="仿宋_GB2312" w:eastAsia="仿宋_GB2312" w:cs="仿宋_GB2312"/>
          <w:color w:val="auto"/>
          <w:sz w:val="32"/>
          <w:szCs w:val="32"/>
          <w:lang w:eastAsia="zh-CN"/>
        </w:rPr>
        <w:t>。乙方</w:t>
      </w:r>
      <w:r>
        <w:rPr>
          <w:rFonts w:hint="eastAsia" w:ascii="仿宋_GB2312" w:hAnsi="仿宋_GB2312" w:eastAsia="仿宋_GB2312" w:cs="仿宋_GB2312"/>
          <w:color w:val="auto"/>
          <w:sz w:val="32"/>
          <w:szCs w:val="32"/>
        </w:rPr>
        <w:t>需向甲方提出书面申请，经甲方同意后方可变更，合同期内一年只能变更一次。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2.甲方负责县级储备油的日常保管工作。县级储备油存放在坝头粮库P5仓。购买储备油的货款、利息、仓租、水电等费用及甲方管理人员的工资、福利等由甲方负责。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3.甲方按食用植物油存储计划48吨，XXX元/吨</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年的标准付给乙方储备油轮换费用，每满1年进行结算</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乙方需提前十五天按照甲方要求开具正式发票，7个工作日内付清款项。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rPr>
        <w:t>4.</w:t>
      </w:r>
      <w:r>
        <w:rPr>
          <w:rFonts w:hint="default" w:ascii="Times New Roman" w:hAnsi="Times New Roman" w:eastAsia="仿宋_GB2312" w:cs="Times New Roman"/>
          <w:color w:val="auto"/>
          <w:sz w:val="32"/>
          <w:szCs w:val="32"/>
        </w:rPr>
        <w:t>甲方有权检查和监督乙方</w:t>
      </w:r>
      <w:r>
        <w:rPr>
          <w:rFonts w:hint="eastAsia" w:ascii="Times New Roman" w:hAnsi="Times New Roman" w:eastAsia="仿宋_GB2312" w:cs="Times New Roman"/>
          <w:color w:val="auto"/>
          <w:sz w:val="32"/>
          <w:szCs w:val="32"/>
          <w:lang w:eastAsia="zh-CN"/>
        </w:rPr>
        <w:t>，并配合</w:t>
      </w:r>
      <w:r>
        <w:rPr>
          <w:rFonts w:hint="default" w:ascii="Times New Roman" w:hAnsi="Times New Roman" w:eastAsia="仿宋_GB2312" w:cs="Times New Roman"/>
          <w:color w:val="auto"/>
          <w:sz w:val="32"/>
          <w:szCs w:val="32"/>
        </w:rPr>
        <w:t>做好县级储备油的轮换工作</w:t>
      </w:r>
      <w:r>
        <w:rPr>
          <w:rFonts w:hint="eastAsia" w:ascii="Times New Roman" w:hAnsi="Times New Roman" w:eastAsia="仿宋_GB2312" w:cs="Times New Roman"/>
          <w:color w:val="auto"/>
          <w:sz w:val="32"/>
          <w:szCs w:val="32"/>
          <w:lang w:eastAsia="zh-CN"/>
        </w:rPr>
        <w:t>。确保库存数量真实、质量合格，</w:t>
      </w:r>
      <w:r>
        <w:rPr>
          <w:rFonts w:hint="eastAsia" w:ascii="Times New Roman" w:hAnsi="Times New Roman" w:eastAsia="仿宋_GB2312" w:cs="Times New Roman"/>
          <w:color w:val="auto"/>
          <w:sz w:val="32"/>
          <w:szCs w:val="32"/>
        </w:rPr>
        <w:t>任何时点</w:t>
      </w:r>
      <w:r>
        <w:rPr>
          <w:rFonts w:hint="eastAsia" w:ascii="Times New Roman" w:hAnsi="Times New Roman" w:eastAsia="仿宋_GB2312" w:cs="Times New Roman"/>
          <w:color w:val="auto"/>
          <w:sz w:val="32"/>
          <w:szCs w:val="32"/>
          <w:lang w:eastAsia="zh-CN"/>
        </w:rPr>
        <w:t>实物</w:t>
      </w:r>
      <w:r>
        <w:rPr>
          <w:rFonts w:hint="eastAsia" w:ascii="Times New Roman" w:hAnsi="Times New Roman" w:eastAsia="仿宋_GB2312" w:cs="Times New Roman"/>
          <w:color w:val="auto"/>
          <w:sz w:val="32"/>
          <w:szCs w:val="32"/>
        </w:rPr>
        <w:t>库存</w:t>
      </w:r>
      <w:r>
        <w:rPr>
          <w:rFonts w:hint="eastAsia" w:ascii="Times New Roman" w:hAnsi="Times New Roman" w:eastAsia="仿宋_GB2312" w:cs="Times New Roman"/>
          <w:color w:val="auto"/>
          <w:sz w:val="32"/>
          <w:szCs w:val="32"/>
          <w:lang w:eastAsia="zh-CN"/>
        </w:rPr>
        <w:t>不低于承储计划的</w:t>
      </w:r>
      <w:r>
        <w:rPr>
          <w:rFonts w:hint="eastAsia" w:ascii="Times New Roman" w:hAnsi="Times New Roman" w:eastAsia="仿宋_GB2312" w:cs="Times New Roman"/>
          <w:color w:val="auto"/>
          <w:sz w:val="32"/>
          <w:szCs w:val="32"/>
          <w:lang w:val="en-US" w:eastAsia="zh-CN"/>
        </w:rPr>
        <w:t>90%</w:t>
      </w:r>
      <w:r>
        <w:rPr>
          <w:rFonts w:hint="eastAsia" w:ascii="Times New Roman" w:hAnsi="Times New Roman" w:eastAsia="仿宋_GB2312" w:cs="Times New Roman"/>
          <w:color w:val="auto"/>
          <w:sz w:val="32"/>
          <w:szCs w:val="32"/>
        </w:rPr>
        <w:t>(43.2吨)</w:t>
      </w:r>
      <w:r>
        <w:rPr>
          <w:rFonts w:hint="eastAsia" w:ascii="Times New Roman" w:hAnsi="Times New Roman" w:eastAsia="仿宋_GB2312"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六、乙方责任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1.乙方负责储备油的动态轮换</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储备油每年的轮换不得少于2次,确保协议期内库存储备油的质量合格、安全卫生。并任何时点</w:t>
      </w:r>
      <w:r>
        <w:rPr>
          <w:rFonts w:hint="eastAsia" w:ascii="Times New Roman" w:hAnsi="Times New Roman" w:eastAsia="仿宋_GB2312" w:cs="Times New Roman"/>
          <w:color w:val="auto"/>
          <w:sz w:val="32"/>
          <w:szCs w:val="32"/>
          <w:lang w:eastAsia="zh-CN"/>
        </w:rPr>
        <w:t>实物</w:t>
      </w:r>
      <w:r>
        <w:rPr>
          <w:rFonts w:hint="eastAsia" w:ascii="Times New Roman" w:hAnsi="Times New Roman" w:eastAsia="仿宋_GB2312" w:cs="Times New Roman"/>
          <w:color w:val="auto"/>
          <w:sz w:val="32"/>
          <w:szCs w:val="32"/>
        </w:rPr>
        <w:t>库存</w:t>
      </w:r>
      <w:r>
        <w:rPr>
          <w:rFonts w:hint="eastAsia" w:ascii="Times New Roman" w:hAnsi="Times New Roman" w:eastAsia="仿宋_GB2312" w:cs="Times New Roman"/>
          <w:color w:val="auto"/>
          <w:sz w:val="32"/>
          <w:szCs w:val="32"/>
          <w:lang w:eastAsia="zh-CN"/>
        </w:rPr>
        <w:t>不低于承储计划的</w:t>
      </w:r>
      <w:r>
        <w:rPr>
          <w:rFonts w:hint="eastAsia" w:ascii="Times New Roman" w:hAnsi="Times New Roman" w:eastAsia="仿宋_GB2312" w:cs="Times New Roman"/>
          <w:color w:val="auto"/>
          <w:sz w:val="32"/>
          <w:szCs w:val="32"/>
          <w:lang w:val="en-US" w:eastAsia="zh-CN"/>
        </w:rPr>
        <w:t>90%</w:t>
      </w:r>
      <w:r>
        <w:rPr>
          <w:rFonts w:hint="eastAsia" w:ascii="Times New Roman" w:hAnsi="Times New Roman" w:eastAsia="仿宋_GB2312" w:cs="Times New Roman"/>
          <w:color w:val="auto"/>
          <w:sz w:val="32"/>
          <w:szCs w:val="32"/>
        </w:rPr>
        <w:t>(43.2吨)</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当库存≤43.2吨时乙方不能再从甲方仓库提货。</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color w:val="auto"/>
          <w:sz w:val="32"/>
          <w:szCs w:val="32"/>
        </w:rPr>
      </w:pPr>
      <w:r>
        <w:rPr>
          <w:rFonts w:hint="eastAsia" w:ascii="Times New Roman" w:hAnsi="Times New Roman" w:eastAsia="仿宋_GB2312" w:cs="Times New Roman"/>
          <w:color w:val="auto"/>
          <w:sz w:val="32"/>
          <w:szCs w:val="32"/>
        </w:rPr>
        <w:t>2.甲方付给乙方每年每吨XXX元的轮换费（需开具正式发票）,乙方对储备油轮换实行自主轮换</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市场运作</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实现常储常新，并承担相应的风险</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轮换中发生的运输、搬运、盈亏等一切费用由乙方承担，乙方参与储备油轮换管理人员所产生的工资、福利、安全等费用由乙</w:t>
      </w:r>
      <w:r>
        <w:rPr>
          <w:rFonts w:hint="eastAsia" w:ascii="仿宋" w:hAnsi="仿宋" w:eastAsia="仿宋"/>
          <w:color w:val="auto"/>
          <w:sz w:val="32"/>
          <w:szCs w:val="32"/>
        </w:rPr>
        <w:t>方负责。</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3.乙方在储备油进出库时</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叉车</w:t>
      </w:r>
      <w:r>
        <w:rPr>
          <w:rFonts w:hint="eastAsia" w:ascii="Times New Roman" w:hAnsi="Times New Roman" w:eastAsia="仿宋_GB2312" w:cs="Times New Roman"/>
          <w:color w:val="auto"/>
          <w:sz w:val="32"/>
          <w:szCs w:val="32"/>
          <w:lang w:eastAsia="zh-CN"/>
        </w:rPr>
        <w:t>驾驶</w:t>
      </w:r>
      <w:r>
        <w:rPr>
          <w:rFonts w:hint="eastAsia" w:ascii="Times New Roman" w:hAnsi="Times New Roman" w:eastAsia="仿宋_GB2312" w:cs="Times New Roman"/>
          <w:color w:val="auto"/>
          <w:sz w:val="32"/>
          <w:szCs w:val="32"/>
        </w:rPr>
        <w:t>人员</w:t>
      </w:r>
      <w:r>
        <w:rPr>
          <w:rFonts w:hint="eastAsia" w:ascii="Times New Roman" w:hAnsi="Times New Roman" w:eastAsia="仿宋_GB2312" w:cs="Times New Roman"/>
          <w:color w:val="auto"/>
          <w:sz w:val="32"/>
          <w:szCs w:val="32"/>
          <w:lang w:eastAsia="zh-CN"/>
        </w:rPr>
        <w:t>必须持有</w:t>
      </w:r>
      <w:r>
        <w:rPr>
          <w:rFonts w:hint="eastAsia" w:ascii="Times New Roman" w:hAnsi="Times New Roman" w:eastAsia="仿宋_GB2312" w:cs="Times New Roman"/>
          <w:color w:val="auto"/>
          <w:sz w:val="32"/>
          <w:szCs w:val="32"/>
        </w:rPr>
        <w:t>叉车驾驶证，工作人员应注意人身安全和物资安全。在生产过程中如发生安全事故，均由乙方负责，由此造成甲方损失的，甲方有权向乙方追偿并由乙方承担相关追偿费用，包括但不限于仲裁费、诉讼费、保全费、律师费等。</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七、协议期限、变更、中止及结算方式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本协议期限三年</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从2024年3月25日开始至2027 年3月24日止。期满后的处理方式为:</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rPr>
        <w:t>.本协议代储期内，若因政府指令等因素，数量需要重新调整的：若增加储备量，在乙方具有相应能力并且费用低于或等于其他新企业的前提下可优先委托乙方代储；若减少储备量，乙方应以谅解并同意，不视为甲方违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如甲方因政策或其它原因不再继续合作，应在协议期满前一个月书面通知乙方提出终止协议，乙方应在协议期满前5个工作日内无条件全额退回甲方购油款67.2万元，甲方将库存的储备油全部交回乙方处理，甲方不承担任何费用。</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rPr>
        <w:t>.乙方在本协议约定期内转营或关闭</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或因其他原因不在具备相应能力的，应提前一个月书面通知甲方，同时应在提出终止协议后5个工作日内乙方退回甲方购油款67.2万元，甲方将库存的储备油全部交回乙方处理，甲方不承担任何费用，甲方视具体情况可追回乙方一年的费用补贴。</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3.本协议期满后</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则协议终止。乙方应在5个工作日内无条件退回购油款67.2万元给甲方，甲方将库存的储备油全部交回乙方处理，甲方不承担任何费用。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八、违约责任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1.如果甲方不能按时支付购油款或轮换费</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则按《合同法》相关规定</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付给乙方滞纳金。</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2.如果乙方没有对每瓶油每年最少轮换2次以上(含2次)</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并且确保每瓶油都在保质期内</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则视作未进行轮换和未履行协议则扣除当年的轮换费用</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如果造成库存</w:t>
      </w:r>
      <w:r>
        <w:rPr>
          <w:rFonts w:hint="eastAsia" w:ascii="Times New Roman" w:hAnsi="Times New Roman" w:eastAsia="仿宋_GB2312" w:cs="Times New Roman"/>
          <w:color w:val="auto"/>
          <w:sz w:val="32"/>
          <w:szCs w:val="32"/>
          <w:lang w:eastAsia="zh-CN"/>
        </w:rPr>
        <w:t>储备油品质</w:t>
      </w:r>
      <w:r>
        <w:rPr>
          <w:rFonts w:hint="eastAsia" w:ascii="Times New Roman" w:hAnsi="Times New Roman" w:eastAsia="仿宋_GB2312" w:cs="Times New Roman"/>
          <w:color w:val="auto"/>
          <w:sz w:val="32"/>
          <w:szCs w:val="32"/>
        </w:rPr>
        <w:t>劣变</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不符合质量</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卫生标准</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则全部成本和费用损失</w:t>
      </w:r>
      <w:r>
        <w:rPr>
          <w:rFonts w:hint="eastAsia" w:ascii="Times New Roman" w:hAnsi="Times New Roman" w:eastAsia="仿宋_GB2312" w:cs="Times New Roman"/>
          <w:color w:val="auto"/>
          <w:sz w:val="32"/>
          <w:szCs w:val="32"/>
          <w:lang w:eastAsia="zh-CN"/>
        </w:rPr>
        <w:t>均</w:t>
      </w:r>
      <w:r>
        <w:rPr>
          <w:rFonts w:hint="eastAsia" w:ascii="Times New Roman" w:hAnsi="Times New Roman" w:eastAsia="仿宋_GB2312" w:cs="Times New Roman"/>
          <w:color w:val="auto"/>
          <w:sz w:val="32"/>
          <w:szCs w:val="32"/>
        </w:rPr>
        <w:t>由乙方承担。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rPr>
        <w:t>3.</w:t>
      </w:r>
      <w:r>
        <w:rPr>
          <w:rFonts w:hint="eastAsia" w:ascii="Times New Roman" w:hAnsi="Times New Roman" w:eastAsia="仿宋_GB2312" w:cs="Times New Roman"/>
          <w:color w:val="auto"/>
          <w:sz w:val="32"/>
          <w:szCs w:val="32"/>
          <w:lang w:eastAsia="zh-CN"/>
        </w:rPr>
        <w:t>乙方</w:t>
      </w:r>
      <w:r>
        <w:rPr>
          <w:rFonts w:hint="eastAsia" w:ascii="Times New Roman" w:hAnsi="Times New Roman" w:eastAsia="仿宋_GB2312" w:cs="Times New Roman"/>
          <w:color w:val="auto"/>
          <w:sz w:val="32"/>
          <w:szCs w:val="32"/>
        </w:rPr>
        <w:t>有下列任何情形之一</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无条件终止合同</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并追偿损失</w:t>
      </w:r>
      <w:r>
        <w:rPr>
          <w:rFonts w:hint="eastAsia" w:ascii="Times New Roman" w:hAnsi="Times New Roman" w:eastAsia="仿宋_GB2312"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rPr>
        <w:t>①购进的品牌食用植物油不符合国家标准规定的</w:t>
      </w:r>
      <w:r>
        <w:rPr>
          <w:rFonts w:hint="eastAsia" w:ascii="Times New Roman" w:hAnsi="Times New Roman" w:eastAsia="仿宋_GB2312"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②油库里发现有超过保质期的食用植物油;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③库存食用植物油每年未轮换2次以上(含2次);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4. 若乙方的违约行为情节严重，造成恶劣社会影响和严重损失的，将移交司法机关追究刑事责任。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九、其他</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1.如</w:t>
      </w:r>
      <w:r>
        <w:rPr>
          <w:rFonts w:hint="eastAsia" w:ascii="Times New Roman" w:hAnsi="Times New Roman" w:eastAsia="仿宋_GB2312" w:cs="Times New Roman"/>
          <w:color w:val="auto"/>
          <w:sz w:val="32"/>
          <w:szCs w:val="32"/>
          <w:lang w:eastAsia="zh-CN"/>
        </w:rPr>
        <w:t>遇</w:t>
      </w:r>
      <w:r>
        <w:rPr>
          <w:rFonts w:hint="eastAsia" w:ascii="Times New Roman" w:hAnsi="Times New Roman" w:eastAsia="仿宋_GB2312" w:cs="Times New Roman"/>
          <w:color w:val="auto"/>
          <w:sz w:val="32"/>
          <w:szCs w:val="32"/>
        </w:rPr>
        <w:t>品牌食用植物油升级换代</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则在轮换过程中自然换代</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如果品牌淘汰</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则由双方协议另行更换品牌</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在合作期间</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如有其他更适合的品牌</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经双方协商后</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可进行更换。</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2.如遇上级储备油政策调整变化,按新的政策办理。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3.如本协议发生争议</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双方协商解决</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协商不成的按《合同法》或向法院诉讼处理。</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ascii="仿宋" w:hAnsi="仿宋" w:eastAsia="仿宋"/>
          <w:color w:val="auto"/>
          <w:sz w:val="32"/>
          <w:szCs w:val="32"/>
          <w:highlight w:val="none"/>
        </w:rPr>
      </w:pPr>
      <w:r>
        <w:rPr>
          <w:rFonts w:hint="eastAsia" w:ascii="Times New Roman" w:hAnsi="Times New Roman" w:eastAsia="仿宋_GB2312" w:cs="Times New Roman"/>
          <w:color w:val="auto"/>
          <w:sz w:val="32"/>
          <w:szCs w:val="32"/>
        </w:rPr>
        <w:t>4. 本协议自双方签订之日起生效，有效期至协议届满之日，</w:t>
      </w:r>
      <w:r>
        <w:rPr>
          <w:rFonts w:hint="eastAsia" w:ascii="仿宋" w:hAnsi="仿宋" w:eastAsia="仿宋" w:cs="仿宋"/>
          <w:color w:val="auto"/>
          <w:sz w:val="32"/>
          <w:szCs w:val="32"/>
          <w:highlight w:val="none"/>
        </w:rPr>
        <w:t>本合同一式</w:t>
      </w:r>
      <w:r>
        <w:rPr>
          <w:rFonts w:hint="eastAsia" w:ascii="仿宋" w:hAnsi="仿宋" w:eastAsia="仿宋" w:cs="仿宋"/>
          <w:color w:val="auto"/>
          <w:sz w:val="32"/>
          <w:szCs w:val="32"/>
          <w:highlight w:val="none"/>
          <w:lang w:val="en-US" w:eastAsia="zh-CN"/>
        </w:rPr>
        <w:t>五</w:t>
      </w:r>
      <w:r>
        <w:rPr>
          <w:rFonts w:hint="eastAsia" w:ascii="仿宋" w:hAnsi="仿宋" w:eastAsia="仿宋" w:cs="仿宋"/>
          <w:color w:val="auto"/>
          <w:sz w:val="32"/>
          <w:szCs w:val="32"/>
          <w:highlight w:val="none"/>
        </w:rPr>
        <w:t>份。双方各执一份，县发展和改革局、农发行</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梅州市嘉应粮食交易中心</w:t>
      </w:r>
      <w:r>
        <w:rPr>
          <w:rFonts w:hint="eastAsia" w:ascii="仿宋" w:hAnsi="仿宋" w:eastAsia="仿宋" w:cs="仿宋"/>
          <w:color w:val="auto"/>
          <w:sz w:val="32"/>
          <w:szCs w:val="32"/>
          <w:highlight w:val="none"/>
        </w:rPr>
        <w:t>各执一份，具同等效力。</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十、其他约定事项</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eastAsia" w:ascii="仿宋" w:hAnsi="仿宋" w:eastAsia="仿宋" w:cs="仿宋"/>
          <w:color w:val="auto"/>
          <w:sz w:val="32"/>
          <w:szCs w:val="32"/>
          <w:lang w:eastAsia="zh-CN"/>
        </w:rPr>
      </w:pPr>
      <w:r>
        <w:rPr>
          <w:rFonts w:ascii="仿宋" w:hAnsi="仿宋" w:eastAsia="仿宋" w:cs="仿宋"/>
          <w:color w:val="auto"/>
          <w:sz w:val="32"/>
          <w:szCs w:val="32"/>
        </w:rPr>
        <w:t>1</w:t>
      </w:r>
      <w:r>
        <w:rPr>
          <w:rFonts w:hint="eastAsia" w:ascii="仿宋" w:hAnsi="仿宋" w:eastAsia="仿宋" w:cs="仿宋"/>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p>
    <w:p>
      <w:pPr>
        <w:keepNext w:val="0"/>
        <w:keepLines w:val="0"/>
        <w:pageBreakBefore w:val="0"/>
        <w:widowControl w:val="0"/>
        <w:kinsoku/>
        <w:wordWrap/>
        <w:overflowPunct/>
        <w:topLinePunct w:val="0"/>
        <w:bidi w:val="0"/>
        <w:snapToGrid/>
        <w:spacing w:line="460" w:lineRule="exact"/>
        <w:ind w:firstLine="660"/>
        <w:textAlignment w:val="auto"/>
        <w:rPr>
          <w:rFonts w:hint="default"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甲方</w:t>
      </w:r>
      <w:r>
        <w:rPr>
          <w:rFonts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 xml:space="preserve">  </w:t>
      </w:r>
      <w:r>
        <w:rPr>
          <w:rFonts w:ascii="仿宋" w:hAnsi="仿宋" w:eastAsia="仿宋" w:cs="仿宋"/>
          <w:color w:val="auto"/>
          <w:sz w:val="32"/>
          <w:szCs w:val="32"/>
        </w:rPr>
        <w:t xml:space="preserve"> </w:t>
      </w:r>
      <w:r>
        <w:rPr>
          <w:rFonts w:hint="eastAsia" w:ascii="仿宋" w:hAnsi="仿宋" w:eastAsia="仿宋" w:cs="仿宋"/>
          <w:color w:val="auto"/>
          <w:sz w:val="32"/>
          <w:szCs w:val="32"/>
        </w:rPr>
        <w:t>乙方</w:t>
      </w:r>
      <w:r>
        <w:rPr>
          <w:rFonts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 w:hAnsi="仿宋" w:eastAsia="仿宋"/>
          <w:color w:val="auto"/>
          <w:sz w:val="32"/>
          <w:szCs w:val="32"/>
        </w:rPr>
      </w:pPr>
      <w:r>
        <w:rPr>
          <w:rFonts w:hint="eastAsia" w:ascii="仿宋" w:hAnsi="仿宋" w:eastAsia="仿宋" w:cs="仿宋"/>
          <w:color w:val="auto"/>
          <w:sz w:val="32"/>
          <w:szCs w:val="32"/>
        </w:rPr>
        <w:t>签约代表：</w:t>
      </w:r>
      <w:r>
        <w:rPr>
          <w:rFonts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签约代表：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 w:hAnsi="仿宋" w:eastAsia="仿宋"/>
          <w:color w:val="auto"/>
          <w:sz w:val="32"/>
          <w:szCs w:val="32"/>
        </w:rPr>
      </w:pPr>
      <w:r>
        <w:rPr>
          <w:rFonts w:hint="eastAsia" w:ascii="仿宋" w:hAnsi="仿宋" w:eastAsia="仿宋" w:cs="仿宋"/>
          <w:color w:val="auto"/>
          <w:sz w:val="32"/>
          <w:szCs w:val="32"/>
        </w:rPr>
        <w:t>联系人</w:t>
      </w:r>
      <w:r>
        <w:rPr>
          <w:rFonts w:ascii="仿宋" w:hAnsi="仿宋" w:eastAsia="仿宋" w:cs="仿宋"/>
          <w:color w:val="auto"/>
          <w:sz w:val="32"/>
          <w:szCs w:val="32"/>
        </w:rPr>
        <w:t>:</w:t>
      </w:r>
      <w:r>
        <w:rPr>
          <w:rFonts w:ascii="仿宋" w:hAnsi="仿宋" w:eastAsia="仿宋" w:cs="仿宋"/>
          <w:color w:val="auto"/>
          <w:sz w:val="32"/>
          <w:szCs w:val="32"/>
        </w:rPr>
        <w:tab/>
      </w:r>
      <w:r>
        <w:rPr>
          <w:rFonts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 xml:space="preserve">  </w:t>
      </w:r>
      <w:r>
        <w:rPr>
          <w:rFonts w:ascii="仿宋" w:hAnsi="仿宋" w:eastAsia="仿宋" w:cs="仿宋"/>
          <w:color w:val="auto"/>
          <w:sz w:val="32"/>
          <w:szCs w:val="32"/>
        </w:rPr>
        <w:t xml:space="preserve"> </w:t>
      </w:r>
      <w:r>
        <w:rPr>
          <w:rFonts w:hint="eastAsia" w:ascii="仿宋" w:hAnsi="仿宋" w:eastAsia="仿宋" w:cs="仿宋"/>
          <w:color w:val="auto"/>
          <w:sz w:val="32"/>
          <w:szCs w:val="32"/>
        </w:rPr>
        <w:t>联系人：</w:t>
      </w:r>
    </w:p>
    <w:p>
      <w:pPr>
        <w:keepNext w:val="0"/>
        <w:keepLines w:val="0"/>
        <w:pageBreakBefore w:val="0"/>
        <w:widowControl w:val="0"/>
        <w:tabs>
          <w:tab w:val="center" w:pos="4153"/>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联系电话：</w:t>
      </w:r>
      <w:r>
        <w:rPr>
          <w:rFonts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联系电话：</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仿宋" w:hAnsi="仿宋" w:eastAsia="仿宋"/>
          <w:color w:val="auto"/>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确认单位：梅州市嘉应粮食交易中心有限公司</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960" w:firstLineChars="3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xml:space="preserve">电话（传真）：0753-2128232    0753-2128231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olor w:val="auto"/>
          <w:sz w:val="28"/>
          <w:szCs w:val="28"/>
        </w:rPr>
      </w:pPr>
    </w:p>
    <w:p>
      <w:pPr>
        <w:keepNext w:val="0"/>
        <w:keepLines w:val="0"/>
        <w:pageBreakBefore w:val="0"/>
        <w:widowControl w:val="0"/>
        <w:tabs>
          <w:tab w:val="center" w:pos="4153"/>
        </w:tabs>
        <w:kinsoku/>
        <w:wordWrap/>
        <w:overflowPunct/>
        <w:topLinePunct w:val="0"/>
        <w:bidi w:val="0"/>
        <w:snapToGrid/>
        <w:spacing w:line="460" w:lineRule="exact"/>
        <w:ind w:firstLine="5760" w:firstLineChars="1800"/>
        <w:jc w:val="both"/>
        <w:textAlignment w:val="auto"/>
        <w:rPr>
          <w:rFonts w:ascii="仿宋" w:hAnsi="仿宋" w:eastAsia="仿宋" w:cs="仿宋"/>
          <w:color w:val="auto"/>
          <w:sz w:val="32"/>
          <w:szCs w:val="32"/>
        </w:rPr>
      </w:pPr>
    </w:p>
    <w:p>
      <w:pPr>
        <w:keepNext w:val="0"/>
        <w:keepLines w:val="0"/>
        <w:pageBreakBefore w:val="0"/>
        <w:widowControl w:val="0"/>
        <w:tabs>
          <w:tab w:val="center" w:pos="4153"/>
        </w:tabs>
        <w:kinsoku/>
        <w:wordWrap/>
        <w:overflowPunct/>
        <w:topLinePunct w:val="0"/>
        <w:bidi w:val="0"/>
        <w:snapToGrid/>
        <w:spacing w:line="460" w:lineRule="exact"/>
        <w:ind w:firstLine="5760" w:firstLineChars="1800"/>
        <w:jc w:val="both"/>
        <w:textAlignment w:val="auto"/>
        <w:rPr>
          <w:rFonts w:ascii="仿宋" w:hAnsi="仿宋" w:eastAsia="仿宋"/>
          <w:color w:val="auto"/>
          <w:sz w:val="32"/>
          <w:szCs w:val="32"/>
        </w:rPr>
      </w:pPr>
      <w:r>
        <w:rPr>
          <w:rFonts w:ascii="仿宋" w:hAnsi="仿宋" w:eastAsia="仿宋" w:cs="仿宋"/>
          <w:color w:val="auto"/>
          <w:sz w:val="32"/>
          <w:szCs w:val="32"/>
        </w:rPr>
        <w:t>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年</w:t>
      </w:r>
      <w:r>
        <w:rPr>
          <w:rFonts w:ascii="仿宋" w:hAnsi="仿宋" w:eastAsia="仿宋" w:cs="仿宋"/>
          <w:color w:val="auto"/>
          <w:sz w:val="32"/>
          <w:szCs w:val="32"/>
        </w:rPr>
        <w:t>XX</w:t>
      </w:r>
      <w:r>
        <w:rPr>
          <w:rFonts w:hint="eastAsia" w:ascii="仿宋" w:hAnsi="仿宋" w:eastAsia="仿宋" w:cs="仿宋"/>
          <w:color w:val="auto"/>
          <w:sz w:val="32"/>
          <w:szCs w:val="32"/>
        </w:rPr>
        <w:t>月</w:t>
      </w:r>
      <w:r>
        <w:rPr>
          <w:rFonts w:ascii="仿宋" w:hAnsi="仿宋" w:eastAsia="仿宋" w:cs="仿宋"/>
          <w:color w:val="auto"/>
          <w:sz w:val="32"/>
          <w:szCs w:val="32"/>
        </w:rPr>
        <w:t>X</w:t>
      </w:r>
      <w:bookmarkStart w:id="0" w:name="_GoBack"/>
      <w:bookmarkEnd w:id="0"/>
      <w:r>
        <w:rPr>
          <w:rFonts w:ascii="仿宋" w:hAnsi="仿宋" w:eastAsia="仿宋" w:cs="仿宋"/>
          <w:color w:val="auto"/>
          <w:sz w:val="32"/>
          <w:szCs w:val="32"/>
        </w:rPr>
        <w:t>X</w:t>
      </w:r>
      <w:r>
        <w:rPr>
          <w:rFonts w:hint="eastAsia" w:ascii="仿宋" w:hAnsi="仿宋" w:eastAsia="仿宋" w:cs="仿宋"/>
          <w:color w:val="auto"/>
          <w:sz w:val="32"/>
          <w:szCs w:val="32"/>
        </w:rPr>
        <w:t>日</w:t>
      </w:r>
    </w:p>
    <w:p>
      <w:pPr>
        <w:spacing w:line="460" w:lineRule="exact"/>
        <w:ind w:right="300"/>
        <w:jc w:val="center"/>
        <w:rPr>
          <w:rFonts w:ascii="Times New Roman" w:hAnsi="Times New Roman" w:eastAsia="仿宋_GB2312" w:cs="Times New Roman"/>
          <w:color w:val="auto"/>
          <w:sz w:val="30"/>
          <w:szCs w:val="30"/>
        </w:rPr>
      </w:pPr>
    </w:p>
    <w:p>
      <w:pPr>
        <w:spacing w:line="500" w:lineRule="exact"/>
        <w:ind w:left="0" w:leftChars="0" w:firstLine="0" w:firstLineChars="0"/>
        <w:jc w:val="left"/>
        <w:rPr>
          <w:rFonts w:hint="eastAsia" w:ascii="宋体" w:hAnsi="宋体"/>
          <w:sz w:val="24"/>
        </w:rPr>
      </w:pPr>
    </w:p>
    <w:sectPr>
      <w:footerReference r:id="rId6" w:type="default"/>
      <w:pgSz w:w="11906" w:h="16838"/>
      <w:pgMar w:top="1440" w:right="1366" w:bottom="1440" w:left="15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roman"/>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2</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46425"/>
      <w:docPartObj>
        <w:docPartGallery w:val="autotext"/>
      </w:docPartObj>
    </w:sdtPr>
    <w:sdtContent>
      <w:p>
        <w:pPr>
          <w:pStyle w:val="6"/>
          <w:jc w:val="center"/>
        </w:pPr>
        <w:r>
          <w:fldChar w:fldCharType="begin"/>
        </w:r>
        <w:r>
          <w:instrText xml:space="preserve"> PAGE   \* MERGEFORMAT </w:instrText>
        </w:r>
        <w:r>
          <w:fldChar w:fldCharType="separate"/>
        </w:r>
        <w:r>
          <w:rPr>
            <w:lang w:val="zh-CN"/>
          </w:rPr>
          <w:t>5</w:t>
        </w:r>
        <w:r>
          <w:rPr>
            <w:lang w:val="zh-CN"/>
          </w:rPr>
          <w:fldChar w:fldCharType="end"/>
        </w:r>
      </w:p>
    </w:sdtContent>
  </w:sdt>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497FD1"/>
    <w:rsid w:val="0000037E"/>
    <w:rsid w:val="000035F7"/>
    <w:rsid w:val="000058F1"/>
    <w:rsid w:val="00005974"/>
    <w:rsid w:val="0001202F"/>
    <w:rsid w:val="000152E6"/>
    <w:rsid w:val="000157C8"/>
    <w:rsid w:val="00020B52"/>
    <w:rsid w:val="00021010"/>
    <w:rsid w:val="00025A97"/>
    <w:rsid w:val="0002691A"/>
    <w:rsid w:val="00032E0B"/>
    <w:rsid w:val="00045121"/>
    <w:rsid w:val="00055844"/>
    <w:rsid w:val="000609FD"/>
    <w:rsid w:val="00066961"/>
    <w:rsid w:val="00072721"/>
    <w:rsid w:val="00072BAD"/>
    <w:rsid w:val="00074864"/>
    <w:rsid w:val="00077F84"/>
    <w:rsid w:val="00094F2B"/>
    <w:rsid w:val="00096B25"/>
    <w:rsid w:val="000A0633"/>
    <w:rsid w:val="000A4A9B"/>
    <w:rsid w:val="000B0E83"/>
    <w:rsid w:val="000C1C94"/>
    <w:rsid w:val="000C5481"/>
    <w:rsid w:val="000D1D6F"/>
    <w:rsid w:val="000D46C4"/>
    <w:rsid w:val="00100FE5"/>
    <w:rsid w:val="00102337"/>
    <w:rsid w:val="001035B8"/>
    <w:rsid w:val="00110D01"/>
    <w:rsid w:val="00111327"/>
    <w:rsid w:val="00113892"/>
    <w:rsid w:val="001152CA"/>
    <w:rsid w:val="001273E8"/>
    <w:rsid w:val="0013605A"/>
    <w:rsid w:val="001431E1"/>
    <w:rsid w:val="00143C5C"/>
    <w:rsid w:val="001443EE"/>
    <w:rsid w:val="00152DA2"/>
    <w:rsid w:val="001619B9"/>
    <w:rsid w:val="00184CAB"/>
    <w:rsid w:val="001A0993"/>
    <w:rsid w:val="001B0EFE"/>
    <w:rsid w:val="001B520C"/>
    <w:rsid w:val="001B657C"/>
    <w:rsid w:val="001B6B5F"/>
    <w:rsid w:val="001D579A"/>
    <w:rsid w:val="001E2B98"/>
    <w:rsid w:val="001E594C"/>
    <w:rsid w:val="001F768A"/>
    <w:rsid w:val="00200335"/>
    <w:rsid w:val="00201245"/>
    <w:rsid w:val="002116A3"/>
    <w:rsid w:val="002133AB"/>
    <w:rsid w:val="00217FD1"/>
    <w:rsid w:val="00221ED0"/>
    <w:rsid w:val="002234F9"/>
    <w:rsid w:val="00234722"/>
    <w:rsid w:val="00262740"/>
    <w:rsid w:val="00277A52"/>
    <w:rsid w:val="002836AC"/>
    <w:rsid w:val="0029138D"/>
    <w:rsid w:val="00292D6F"/>
    <w:rsid w:val="00293186"/>
    <w:rsid w:val="00297ADC"/>
    <w:rsid w:val="002A34E3"/>
    <w:rsid w:val="002A55BB"/>
    <w:rsid w:val="002C67DE"/>
    <w:rsid w:val="002C70EF"/>
    <w:rsid w:val="002E0E68"/>
    <w:rsid w:val="002F1D54"/>
    <w:rsid w:val="002F26F5"/>
    <w:rsid w:val="003038C8"/>
    <w:rsid w:val="00304C25"/>
    <w:rsid w:val="003210DD"/>
    <w:rsid w:val="00323542"/>
    <w:rsid w:val="00333BEE"/>
    <w:rsid w:val="00335D28"/>
    <w:rsid w:val="0035127B"/>
    <w:rsid w:val="00360C79"/>
    <w:rsid w:val="00371CF7"/>
    <w:rsid w:val="003846F5"/>
    <w:rsid w:val="00384EE0"/>
    <w:rsid w:val="00385F2B"/>
    <w:rsid w:val="00391184"/>
    <w:rsid w:val="003950A2"/>
    <w:rsid w:val="003A760F"/>
    <w:rsid w:val="003B0C28"/>
    <w:rsid w:val="003B3423"/>
    <w:rsid w:val="003B651C"/>
    <w:rsid w:val="003B6694"/>
    <w:rsid w:val="003B7CBD"/>
    <w:rsid w:val="003C0010"/>
    <w:rsid w:val="003C1B0F"/>
    <w:rsid w:val="003D641E"/>
    <w:rsid w:val="003D66AA"/>
    <w:rsid w:val="003E051E"/>
    <w:rsid w:val="003E343A"/>
    <w:rsid w:val="003E5E3D"/>
    <w:rsid w:val="003F6657"/>
    <w:rsid w:val="00403D33"/>
    <w:rsid w:val="00432670"/>
    <w:rsid w:val="0044051E"/>
    <w:rsid w:val="00460C08"/>
    <w:rsid w:val="00466FA6"/>
    <w:rsid w:val="00470F90"/>
    <w:rsid w:val="00482707"/>
    <w:rsid w:val="00497FD1"/>
    <w:rsid w:val="004A095E"/>
    <w:rsid w:val="004A1485"/>
    <w:rsid w:val="004B7618"/>
    <w:rsid w:val="004D2C0B"/>
    <w:rsid w:val="004D7A9E"/>
    <w:rsid w:val="004E747F"/>
    <w:rsid w:val="004F74C3"/>
    <w:rsid w:val="005046F7"/>
    <w:rsid w:val="00511694"/>
    <w:rsid w:val="00537024"/>
    <w:rsid w:val="00547CD6"/>
    <w:rsid w:val="005644F2"/>
    <w:rsid w:val="00566FF9"/>
    <w:rsid w:val="00574F2B"/>
    <w:rsid w:val="00585AE5"/>
    <w:rsid w:val="005A266A"/>
    <w:rsid w:val="005A2A9D"/>
    <w:rsid w:val="005A3932"/>
    <w:rsid w:val="005C6853"/>
    <w:rsid w:val="005E1815"/>
    <w:rsid w:val="005E658F"/>
    <w:rsid w:val="005F3B4B"/>
    <w:rsid w:val="00601145"/>
    <w:rsid w:val="00601935"/>
    <w:rsid w:val="00606DF5"/>
    <w:rsid w:val="006358E0"/>
    <w:rsid w:val="00644FB7"/>
    <w:rsid w:val="006507AA"/>
    <w:rsid w:val="00651C70"/>
    <w:rsid w:val="0065566B"/>
    <w:rsid w:val="00656CEC"/>
    <w:rsid w:val="00675E93"/>
    <w:rsid w:val="0068638E"/>
    <w:rsid w:val="00690C82"/>
    <w:rsid w:val="006944B9"/>
    <w:rsid w:val="00695904"/>
    <w:rsid w:val="00695B20"/>
    <w:rsid w:val="006C06F8"/>
    <w:rsid w:val="006D2D0A"/>
    <w:rsid w:val="006D4BF2"/>
    <w:rsid w:val="006D6917"/>
    <w:rsid w:val="007042E7"/>
    <w:rsid w:val="007073D7"/>
    <w:rsid w:val="0071695D"/>
    <w:rsid w:val="007244E1"/>
    <w:rsid w:val="00725EAD"/>
    <w:rsid w:val="00727C6D"/>
    <w:rsid w:val="007505F7"/>
    <w:rsid w:val="00753619"/>
    <w:rsid w:val="007538F2"/>
    <w:rsid w:val="00762D9E"/>
    <w:rsid w:val="007762A1"/>
    <w:rsid w:val="00781293"/>
    <w:rsid w:val="007A273F"/>
    <w:rsid w:val="007A2EC9"/>
    <w:rsid w:val="007A3877"/>
    <w:rsid w:val="007A4AE0"/>
    <w:rsid w:val="007B3B44"/>
    <w:rsid w:val="007D0C0F"/>
    <w:rsid w:val="007D3A9C"/>
    <w:rsid w:val="007D4AEC"/>
    <w:rsid w:val="007D71C0"/>
    <w:rsid w:val="007E1BB5"/>
    <w:rsid w:val="007F310B"/>
    <w:rsid w:val="007F711B"/>
    <w:rsid w:val="00803A12"/>
    <w:rsid w:val="00807664"/>
    <w:rsid w:val="008107F8"/>
    <w:rsid w:val="0081372D"/>
    <w:rsid w:val="00816F5C"/>
    <w:rsid w:val="00822402"/>
    <w:rsid w:val="008341A4"/>
    <w:rsid w:val="00840854"/>
    <w:rsid w:val="008661C4"/>
    <w:rsid w:val="00894724"/>
    <w:rsid w:val="00897A05"/>
    <w:rsid w:val="008A7532"/>
    <w:rsid w:val="008A7BCD"/>
    <w:rsid w:val="008C04F3"/>
    <w:rsid w:val="008D249A"/>
    <w:rsid w:val="008D3092"/>
    <w:rsid w:val="008E5AC6"/>
    <w:rsid w:val="008F09A3"/>
    <w:rsid w:val="008F34C3"/>
    <w:rsid w:val="0090171D"/>
    <w:rsid w:val="009022D6"/>
    <w:rsid w:val="00903759"/>
    <w:rsid w:val="00912013"/>
    <w:rsid w:val="009168E4"/>
    <w:rsid w:val="0092369C"/>
    <w:rsid w:val="009271FD"/>
    <w:rsid w:val="0093143A"/>
    <w:rsid w:val="00937751"/>
    <w:rsid w:val="00947862"/>
    <w:rsid w:val="00960103"/>
    <w:rsid w:val="00974ABA"/>
    <w:rsid w:val="00983038"/>
    <w:rsid w:val="0098781B"/>
    <w:rsid w:val="00997E5F"/>
    <w:rsid w:val="009B4746"/>
    <w:rsid w:val="009C0410"/>
    <w:rsid w:val="009C198F"/>
    <w:rsid w:val="009C1A33"/>
    <w:rsid w:val="009C6477"/>
    <w:rsid w:val="009D1AF3"/>
    <w:rsid w:val="009E1C25"/>
    <w:rsid w:val="009F1556"/>
    <w:rsid w:val="009F1BE8"/>
    <w:rsid w:val="009F238F"/>
    <w:rsid w:val="009F6E54"/>
    <w:rsid w:val="00A02985"/>
    <w:rsid w:val="00A120BF"/>
    <w:rsid w:val="00A65FC5"/>
    <w:rsid w:val="00A75677"/>
    <w:rsid w:val="00A81D0C"/>
    <w:rsid w:val="00A86069"/>
    <w:rsid w:val="00A86704"/>
    <w:rsid w:val="00A946A1"/>
    <w:rsid w:val="00A973C1"/>
    <w:rsid w:val="00AA23E3"/>
    <w:rsid w:val="00AA2674"/>
    <w:rsid w:val="00AC111C"/>
    <w:rsid w:val="00AC437F"/>
    <w:rsid w:val="00AD09FB"/>
    <w:rsid w:val="00AD366C"/>
    <w:rsid w:val="00AD37DB"/>
    <w:rsid w:val="00AF5210"/>
    <w:rsid w:val="00B01323"/>
    <w:rsid w:val="00B06CDC"/>
    <w:rsid w:val="00B10108"/>
    <w:rsid w:val="00B10AB9"/>
    <w:rsid w:val="00B12E1F"/>
    <w:rsid w:val="00B13CBE"/>
    <w:rsid w:val="00B14AD9"/>
    <w:rsid w:val="00B172B6"/>
    <w:rsid w:val="00B22967"/>
    <w:rsid w:val="00B30583"/>
    <w:rsid w:val="00B30E77"/>
    <w:rsid w:val="00B32BE7"/>
    <w:rsid w:val="00B40838"/>
    <w:rsid w:val="00B43DB3"/>
    <w:rsid w:val="00B441E4"/>
    <w:rsid w:val="00B4670E"/>
    <w:rsid w:val="00B47562"/>
    <w:rsid w:val="00B51907"/>
    <w:rsid w:val="00B51F50"/>
    <w:rsid w:val="00B55BD1"/>
    <w:rsid w:val="00B71757"/>
    <w:rsid w:val="00B71D81"/>
    <w:rsid w:val="00B72FE7"/>
    <w:rsid w:val="00B75572"/>
    <w:rsid w:val="00B83B3A"/>
    <w:rsid w:val="00B85595"/>
    <w:rsid w:val="00B91D67"/>
    <w:rsid w:val="00B97296"/>
    <w:rsid w:val="00BA2712"/>
    <w:rsid w:val="00BB3F45"/>
    <w:rsid w:val="00BC36D9"/>
    <w:rsid w:val="00BC7FE5"/>
    <w:rsid w:val="00BD24F5"/>
    <w:rsid w:val="00BF6531"/>
    <w:rsid w:val="00C030D1"/>
    <w:rsid w:val="00C1546F"/>
    <w:rsid w:val="00C36713"/>
    <w:rsid w:val="00C37456"/>
    <w:rsid w:val="00C52187"/>
    <w:rsid w:val="00C703DA"/>
    <w:rsid w:val="00C7107C"/>
    <w:rsid w:val="00C72423"/>
    <w:rsid w:val="00C8224B"/>
    <w:rsid w:val="00C83FB6"/>
    <w:rsid w:val="00C8516A"/>
    <w:rsid w:val="00C903BA"/>
    <w:rsid w:val="00C936A8"/>
    <w:rsid w:val="00CA46F9"/>
    <w:rsid w:val="00CB769B"/>
    <w:rsid w:val="00CC13A3"/>
    <w:rsid w:val="00CD0183"/>
    <w:rsid w:val="00CD08D2"/>
    <w:rsid w:val="00CD6992"/>
    <w:rsid w:val="00CD6AC1"/>
    <w:rsid w:val="00CE2620"/>
    <w:rsid w:val="00CE3257"/>
    <w:rsid w:val="00CE32AF"/>
    <w:rsid w:val="00CE4D88"/>
    <w:rsid w:val="00D1010C"/>
    <w:rsid w:val="00D12858"/>
    <w:rsid w:val="00D2111B"/>
    <w:rsid w:val="00D24989"/>
    <w:rsid w:val="00D24C2D"/>
    <w:rsid w:val="00D258A1"/>
    <w:rsid w:val="00D516EB"/>
    <w:rsid w:val="00D5713F"/>
    <w:rsid w:val="00D652C4"/>
    <w:rsid w:val="00D73337"/>
    <w:rsid w:val="00D73515"/>
    <w:rsid w:val="00D836D9"/>
    <w:rsid w:val="00D851E9"/>
    <w:rsid w:val="00D87F40"/>
    <w:rsid w:val="00D95A57"/>
    <w:rsid w:val="00D97003"/>
    <w:rsid w:val="00DA3629"/>
    <w:rsid w:val="00DB1AFF"/>
    <w:rsid w:val="00DB3502"/>
    <w:rsid w:val="00DC4E93"/>
    <w:rsid w:val="00DD334C"/>
    <w:rsid w:val="00DE2C0F"/>
    <w:rsid w:val="00DE3463"/>
    <w:rsid w:val="00DE4060"/>
    <w:rsid w:val="00E07358"/>
    <w:rsid w:val="00E12A11"/>
    <w:rsid w:val="00E20EA5"/>
    <w:rsid w:val="00E219D2"/>
    <w:rsid w:val="00E36B30"/>
    <w:rsid w:val="00E40991"/>
    <w:rsid w:val="00E41FC2"/>
    <w:rsid w:val="00E43966"/>
    <w:rsid w:val="00E512AF"/>
    <w:rsid w:val="00E533CC"/>
    <w:rsid w:val="00E54836"/>
    <w:rsid w:val="00E65B1A"/>
    <w:rsid w:val="00E72EE9"/>
    <w:rsid w:val="00E81C52"/>
    <w:rsid w:val="00E85B2B"/>
    <w:rsid w:val="00E85C18"/>
    <w:rsid w:val="00EA2EC3"/>
    <w:rsid w:val="00EA39FC"/>
    <w:rsid w:val="00EB4FCE"/>
    <w:rsid w:val="00EC20AB"/>
    <w:rsid w:val="00EC661D"/>
    <w:rsid w:val="00ED2799"/>
    <w:rsid w:val="00ED33C3"/>
    <w:rsid w:val="00EE5BD4"/>
    <w:rsid w:val="00EE7F00"/>
    <w:rsid w:val="00F07E67"/>
    <w:rsid w:val="00F116EF"/>
    <w:rsid w:val="00F1181B"/>
    <w:rsid w:val="00F158EB"/>
    <w:rsid w:val="00F240D2"/>
    <w:rsid w:val="00F319FD"/>
    <w:rsid w:val="00F47AE9"/>
    <w:rsid w:val="00F50516"/>
    <w:rsid w:val="00F550A9"/>
    <w:rsid w:val="00F60003"/>
    <w:rsid w:val="00F60374"/>
    <w:rsid w:val="00F65396"/>
    <w:rsid w:val="00F71E49"/>
    <w:rsid w:val="00F91909"/>
    <w:rsid w:val="00F95C19"/>
    <w:rsid w:val="00F97951"/>
    <w:rsid w:val="00FA47F0"/>
    <w:rsid w:val="00FA4CD3"/>
    <w:rsid w:val="00FA5CFD"/>
    <w:rsid w:val="00FA7059"/>
    <w:rsid w:val="00FB7FBF"/>
    <w:rsid w:val="00FC4FB2"/>
    <w:rsid w:val="00FD3E4B"/>
    <w:rsid w:val="00FE68D5"/>
    <w:rsid w:val="00FF1EC8"/>
    <w:rsid w:val="00FF4769"/>
    <w:rsid w:val="00FF7BDA"/>
    <w:rsid w:val="051143AD"/>
    <w:rsid w:val="12F47048"/>
    <w:rsid w:val="15706035"/>
    <w:rsid w:val="31D670FA"/>
    <w:rsid w:val="358A197F"/>
    <w:rsid w:val="36787D3F"/>
    <w:rsid w:val="37353CF1"/>
    <w:rsid w:val="3C18413C"/>
    <w:rsid w:val="40893FBC"/>
    <w:rsid w:val="43BB4ED7"/>
    <w:rsid w:val="49C85F61"/>
    <w:rsid w:val="52273283"/>
    <w:rsid w:val="57FA74C5"/>
    <w:rsid w:val="5C41632F"/>
    <w:rsid w:val="5D4602DA"/>
    <w:rsid w:val="698741E4"/>
    <w:rsid w:val="6AD14CF6"/>
    <w:rsid w:val="6E706EA1"/>
    <w:rsid w:val="6FFE593C"/>
    <w:rsid w:val="79413571"/>
    <w:rsid w:val="7A047CE7"/>
    <w:rsid w:val="7AE02E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autoRedefine/>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autoRedefine/>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autoRedefine/>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autoRedefine/>
    <w:semiHidden/>
    <w:qFormat/>
    <w:uiPriority w:val="0"/>
    <w:rPr>
      <w:sz w:val="18"/>
      <w:szCs w:val="18"/>
    </w:rPr>
  </w:style>
  <w:style w:type="paragraph" w:styleId="6">
    <w:name w:val="footer"/>
    <w:basedOn w:val="1"/>
    <w:autoRedefine/>
    <w:qFormat/>
    <w:uiPriority w:val="0"/>
    <w:pPr>
      <w:tabs>
        <w:tab w:val="center" w:pos="4153"/>
        <w:tab w:val="right" w:pos="8306"/>
      </w:tabs>
      <w:snapToGrid w:val="0"/>
      <w:jc w:val="left"/>
    </w:pPr>
    <w:rPr>
      <w:sz w:val="18"/>
      <w:szCs w:val="18"/>
    </w:rPr>
  </w:style>
  <w:style w:type="paragraph" w:styleId="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autoRedefine/>
    <w:semiHidden/>
    <w:qFormat/>
    <w:uiPriority w:val="0"/>
  </w:style>
  <w:style w:type="character" w:styleId="11">
    <w:name w:val="page number"/>
    <w:basedOn w:val="10"/>
    <w:autoRedefine/>
    <w:qFormat/>
    <w:uiPriority w:val="0"/>
  </w:style>
  <w:style w:type="character" w:customStyle="1" w:styleId="12">
    <w:name w:val="正文文本缩进 Char"/>
    <w:basedOn w:val="10"/>
    <w:link w:val="3"/>
    <w:autoRedefine/>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grain</Company>
  <Pages>2</Pages>
  <Words>207</Words>
  <Characters>1185</Characters>
  <Lines>9</Lines>
  <Paragraphs>2</Paragraphs>
  <TotalTime>0</TotalTime>
  <ScaleCrop>false</ScaleCrop>
  <LinksUpToDate>false</LinksUpToDate>
  <CharactersWithSpaces>1390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2021-11-01T03:20:00Z</dcterms:created>
  <dc:creator>hn</dc:creator>
  <cp:lastModifiedBy>汇兴</cp:lastModifiedBy>
  <cp:lastPrinted>2023-08-04T01:22:00Z</cp:lastPrinted>
  <dcterms:modified xsi:type="dcterms:W3CDTF">2024-02-29T08:22:46Z</dcterms:modified>
  <dc:title>广东华南粮食中心批发市场</dc:title>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03089C914A394EFD8B2661DB6BDED857_13</vt:lpwstr>
  </property>
</Properties>
</file>