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宋体" w:hAnsi="宋体" w:eastAsia="宋体" w:cs="Times New Roman"/>
          <w:b/>
          <w:kern w:val="0"/>
          <w:sz w:val="48"/>
          <w:szCs w:val="48"/>
        </w:rPr>
      </w:pPr>
      <w:r>
        <w:rPr>
          <w:rFonts w:hint="eastAsia" w:ascii="宋体" w:hAnsi="宋体" w:eastAsia="宋体" w:cs="Times New Roman"/>
          <w:b/>
          <w:kern w:val="0"/>
          <w:sz w:val="48"/>
          <w:szCs w:val="48"/>
        </w:rPr>
        <w:t>梅州市嘉应粮食交易中心</w:t>
      </w:r>
    </w:p>
    <w:p>
      <w:pPr>
        <w:autoSpaceDE w:val="0"/>
        <w:autoSpaceDN w:val="0"/>
        <w:adjustRightInd w:val="0"/>
        <w:jc w:val="center"/>
        <w:rPr>
          <w:rFonts w:ascii="宋体" w:hAnsi="宋体" w:eastAsia="宋体" w:cs="Times New Roman"/>
          <w:b/>
          <w:kern w:val="0"/>
          <w:sz w:val="48"/>
          <w:szCs w:val="48"/>
        </w:rPr>
      </w:pPr>
      <w:r>
        <w:rPr>
          <w:rFonts w:hint="eastAsia" w:ascii="宋体" w:hAnsi="宋体" w:eastAsia="宋体" w:cs="Times New Roman"/>
          <w:b/>
          <w:kern w:val="0"/>
          <w:sz w:val="48"/>
          <w:szCs w:val="48"/>
        </w:rPr>
        <w:t xml:space="preserve"> 粮食竞价采购交易合同</w:t>
      </w:r>
    </w:p>
    <w:p>
      <w:pPr>
        <w:autoSpaceDE w:val="0"/>
        <w:autoSpaceDN w:val="0"/>
        <w:adjustRightInd w:val="0"/>
        <w:jc w:val="center"/>
        <w:rPr>
          <w:rFonts w:ascii="宋体" w:hAnsi="宋体" w:eastAsia="宋体" w:cs="Times New Roman"/>
          <w:b/>
          <w:kern w:val="0"/>
          <w:sz w:val="48"/>
          <w:szCs w:val="48"/>
        </w:rPr>
      </w:pPr>
    </w:p>
    <w:p>
      <w:pPr>
        <w:autoSpaceDE w:val="0"/>
        <w:autoSpaceDN w:val="0"/>
        <w:adjustRightInd w:val="0"/>
        <w:rPr>
          <w:rFonts w:ascii="宋体" w:hAnsi="宋体" w:eastAsia="宋体" w:cs="Times New Roman"/>
          <w:kern w:val="0"/>
          <w:sz w:val="24"/>
          <w:szCs w:val="24"/>
        </w:rPr>
      </w:pPr>
      <w:r>
        <w:rPr>
          <w:rFonts w:hint="eastAsia" w:ascii="宋体" w:hAnsi="宋体" w:eastAsia="宋体" w:cs="Times New Roman"/>
          <w:kern w:val="0"/>
          <w:sz w:val="24"/>
          <w:szCs w:val="24"/>
        </w:rPr>
        <w:t>合同编号：</w:t>
      </w:r>
    </w:p>
    <w:p>
      <w:pPr>
        <w:autoSpaceDE w:val="0"/>
        <w:autoSpaceDN w:val="0"/>
        <w:adjustRightInd w:val="0"/>
        <w:rPr>
          <w:rFonts w:ascii="宋体" w:hAnsi="宋体" w:eastAsia="宋体" w:cs="Times New Roman"/>
          <w:kern w:val="0"/>
          <w:sz w:val="24"/>
          <w:szCs w:val="24"/>
        </w:rPr>
      </w:pPr>
    </w:p>
    <w:p>
      <w:pPr>
        <w:autoSpaceDE w:val="0"/>
        <w:autoSpaceDN w:val="0"/>
        <w:adjustRightInd w:val="0"/>
        <w:rPr>
          <w:rFonts w:ascii="宋体" w:hAnsi="宋体" w:eastAsia="宋体" w:cs="Times New Roman"/>
          <w:kern w:val="0"/>
          <w:sz w:val="24"/>
          <w:szCs w:val="24"/>
        </w:rPr>
      </w:pPr>
      <w:r>
        <w:rPr>
          <w:rFonts w:hint="eastAsia" w:ascii="宋体" w:hAnsi="宋体" w:eastAsia="宋体" w:cs="Times New Roman"/>
          <w:kern w:val="0"/>
          <w:sz w:val="24"/>
          <w:szCs w:val="24"/>
        </w:rPr>
        <w:t>买方全称：蕉岭县金穗粮食收储有限公司</w:t>
      </w:r>
    </w:p>
    <w:p>
      <w:pPr>
        <w:autoSpaceDE w:val="0"/>
        <w:autoSpaceDN w:val="0"/>
        <w:adjustRightInd w:val="0"/>
        <w:rPr>
          <w:rFonts w:ascii="宋体" w:hAnsi="宋体" w:eastAsia="宋体" w:cs="Times New Roman"/>
          <w:kern w:val="0"/>
          <w:sz w:val="24"/>
          <w:szCs w:val="24"/>
        </w:rPr>
      </w:pPr>
    </w:p>
    <w:p>
      <w:pPr>
        <w:autoSpaceDE w:val="0"/>
        <w:autoSpaceDN w:val="0"/>
        <w:adjustRightInd w:val="0"/>
        <w:rPr>
          <w:rFonts w:ascii="宋体" w:hAnsi="宋体" w:eastAsia="宋体" w:cs="Times New Roman"/>
          <w:kern w:val="0"/>
          <w:sz w:val="24"/>
          <w:szCs w:val="24"/>
        </w:rPr>
      </w:pPr>
      <w:r>
        <w:rPr>
          <w:rFonts w:hint="eastAsia" w:ascii="宋体" w:hAnsi="宋体" w:eastAsia="宋体" w:cs="Times New Roman"/>
          <w:kern w:val="0"/>
          <w:sz w:val="24"/>
          <w:szCs w:val="24"/>
        </w:rPr>
        <w:t>卖方全称：</w:t>
      </w:r>
    </w:p>
    <w:p>
      <w:pPr>
        <w:autoSpaceDE w:val="0"/>
        <w:autoSpaceDN w:val="0"/>
        <w:adjustRightInd w:val="0"/>
        <w:rPr>
          <w:rFonts w:ascii="宋体" w:hAnsi="宋体" w:eastAsia="宋体" w:cs="Times New Roman"/>
          <w:kern w:val="0"/>
          <w:sz w:val="24"/>
          <w:szCs w:val="24"/>
        </w:rPr>
      </w:pPr>
    </w:p>
    <w:p>
      <w:pPr>
        <w:autoSpaceDE w:val="0"/>
        <w:autoSpaceDN w:val="0"/>
        <w:adjustRightInd w:val="0"/>
        <w:rPr>
          <w:rFonts w:ascii="宋体" w:hAnsi="宋体" w:eastAsia="宋体" w:cs="Times New Roman"/>
          <w:kern w:val="0"/>
          <w:sz w:val="24"/>
          <w:szCs w:val="24"/>
        </w:rPr>
      </w:pPr>
      <w:r>
        <w:rPr>
          <w:rFonts w:hint="eastAsia" w:ascii="宋体" w:hAnsi="宋体" w:eastAsia="宋体" w:cs="Times New Roman"/>
          <w:kern w:val="0"/>
          <w:sz w:val="24"/>
          <w:szCs w:val="24"/>
        </w:rPr>
        <w:t>一、成交标的（见下表）                             单位：元、吨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5"/>
        <w:gridCol w:w="2127"/>
        <w:gridCol w:w="1134"/>
        <w:gridCol w:w="3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5" w:type="dxa"/>
            <w:vAlign w:val="center"/>
          </w:tcPr>
          <w:p>
            <w:pPr>
              <w:autoSpaceDE w:val="0"/>
              <w:autoSpaceDN w:val="0"/>
              <w:adjustRightInd w:val="0"/>
              <w:jc w:val="center"/>
              <w:rPr>
                <w:rFonts w:ascii="宋体" w:hAnsi="宋体" w:eastAsia="宋体" w:cs="Times New Roman"/>
                <w:b/>
                <w:bCs/>
                <w:kern w:val="0"/>
                <w:sz w:val="24"/>
                <w:szCs w:val="24"/>
              </w:rPr>
            </w:pPr>
            <w:r>
              <w:rPr>
                <w:rFonts w:hint="eastAsia" w:ascii="宋体" w:hAnsi="宋体" w:eastAsia="宋体" w:cs="Times New Roman"/>
                <w:b/>
                <w:bCs/>
                <w:kern w:val="0"/>
                <w:sz w:val="24"/>
                <w:szCs w:val="24"/>
              </w:rPr>
              <w:t>标的号</w:t>
            </w:r>
          </w:p>
        </w:tc>
        <w:tc>
          <w:tcPr>
            <w:tcW w:w="2127" w:type="dxa"/>
            <w:vAlign w:val="center"/>
          </w:tcPr>
          <w:p>
            <w:pPr>
              <w:autoSpaceDE w:val="0"/>
              <w:autoSpaceDN w:val="0"/>
              <w:adjustRightInd w:val="0"/>
              <w:jc w:val="center"/>
              <w:rPr>
                <w:rFonts w:ascii="宋体" w:hAnsi="宋体" w:eastAsia="宋体" w:cs="Times New Roman"/>
                <w:kern w:val="0"/>
                <w:sz w:val="24"/>
                <w:szCs w:val="24"/>
              </w:rPr>
            </w:pPr>
          </w:p>
        </w:tc>
        <w:tc>
          <w:tcPr>
            <w:tcW w:w="1134" w:type="dxa"/>
            <w:vAlign w:val="center"/>
          </w:tcPr>
          <w:p>
            <w:pPr>
              <w:autoSpaceDE w:val="0"/>
              <w:autoSpaceDN w:val="0"/>
              <w:adjustRightInd w:val="0"/>
              <w:jc w:val="center"/>
              <w:rPr>
                <w:rFonts w:ascii="宋体" w:hAnsi="宋体" w:eastAsia="宋体" w:cs="Times New Roman"/>
                <w:b/>
                <w:bCs/>
                <w:kern w:val="0"/>
                <w:sz w:val="24"/>
                <w:szCs w:val="24"/>
              </w:rPr>
            </w:pPr>
            <w:r>
              <w:rPr>
                <w:rFonts w:hint="eastAsia" w:ascii="宋体" w:hAnsi="宋体" w:eastAsia="宋体" w:cs="Times New Roman"/>
                <w:b/>
                <w:bCs/>
                <w:kern w:val="0"/>
                <w:sz w:val="24"/>
                <w:szCs w:val="24"/>
              </w:rPr>
              <w:t>数量</w:t>
            </w:r>
          </w:p>
        </w:tc>
        <w:tc>
          <w:tcPr>
            <w:tcW w:w="3551" w:type="dxa"/>
            <w:vAlign w:val="center"/>
          </w:tcPr>
          <w:p>
            <w:pPr>
              <w:autoSpaceDE w:val="0"/>
              <w:autoSpaceDN w:val="0"/>
              <w:adjustRightInd w:val="0"/>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5" w:type="dxa"/>
            <w:vAlign w:val="center"/>
          </w:tcPr>
          <w:p>
            <w:pPr>
              <w:autoSpaceDE w:val="0"/>
              <w:autoSpaceDN w:val="0"/>
              <w:adjustRightInd w:val="0"/>
              <w:jc w:val="center"/>
              <w:rPr>
                <w:rFonts w:ascii="宋体" w:hAnsi="宋体" w:eastAsia="宋体" w:cs="Times New Roman"/>
                <w:b/>
                <w:bCs/>
                <w:kern w:val="0"/>
                <w:sz w:val="24"/>
                <w:szCs w:val="24"/>
              </w:rPr>
            </w:pPr>
            <w:r>
              <w:rPr>
                <w:rFonts w:hint="eastAsia" w:ascii="宋体" w:hAnsi="宋体" w:eastAsia="宋体" w:cs="Times New Roman"/>
                <w:b/>
                <w:bCs/>
                <w:kern w:val="0"/>
                <w:sz w:val="24"/>
                <w:szCs w:val="24"/>
              </w:rPr>
              <w:t>品种</w:t>
            </w:r>
          </w:p>
        </w:tc>
        <w:tc>
          <w:tcPr>
            <w:tcW w:w="2127" w:type="dxa"/>
            <w:vAlign w:val="center"/>
          </w:tcPr>
          <w:p>
            <w:pPr>
              <w:autoSpaceDE w:val="0"/>
              <w:autoSpaceDN w:val="0"/>
              <w:adjustRightInd w:val="0"/>
              <w:spacing w:line="240" w:lineRule="exact"/>
              <w:jc w:val="center"/>
              <w:rPr>
                <w:rFonts w:hint="eastAsia" w:ascii="宋体" w:hAnsi="宋体" w:eastAsia="宋体" w:cs="Times New Roman"/>
                <w:kern w:val="0"/>
                <w:sz w:val="24"/>
                <w:szCs w:val="24"/>
                <w:lang w:val="en-US" w:eastAsia="zh-CN"/>
              </w:rPr>
            </w:pPr>
            <w:r>
              <w:rPr>
                <w:rFonts w:hint="eastAsia" w:ascii="宋体" w:hAnsi="宋体" w:eastAsia="宋体" w:cs="Times New Roman"/>
                <w:kern w:val="0"/>
                <w:sz w:val="24"/>
                <w:szCs w:val="24"/>
              </w:rPr>
              <w:t>中晚籼稻</w:t>
            </w:r>
            <w:r>
              <w:rPr>
                <w:rFonts w:hint="eastAsia" w:ascii="宋体" w:hAnsi="宋体" w:eastAsia="宋体" w:cs="Times New Roman"/>
                <w:kern w:val="0"/>
                <w:sz w:val="24"/>
                <w:szCs w:val="24"/>
                <w:lang w:val="en-US" w:eastAsia="zh-CN"/>
              </w:rPr>
              <w:t>谷</w:t>
            </w:r>
          </w:p>
        </w:tc>
        <w:tc>
          <w:tcPr>
            <w:tcW w:w="1134" w:type="dxa"/>
            <w:vAlign w:val="center"/>
          </w:tcPr>
          <w:p>
            <w:pPr>
              <w:autoSpaceDE w:val="0"/>
              <w:autoSpaceDN w:val="0"/>
              <w:adjustRightInd w:val="0"/>
              <w:spacing w:line="240" w:lineRule="exact"/>
              <w:jc w:val="center"/>
              <w:rPr>
                <w:rFonts w:ascii="宋体" w:hAnsi="宋体" w:eastAsia="宋体" w:cs="Times New Roman"/>
                <w:b/>
                <w:bCs/>
                <w:kern w:val="0"/>
                <w:sz w:val="24"/>
                <w:szCs w:val="24"/>
              </w:rPr>
            </w:pPr>
            <w:r>
              <w:rPr>
                <w:rFonts w:hint="eastAsia" w:ascii="宋体" w:hAnsi="宋体" w:eastAsia="宋体" w:cs="Times New Roman"/>
                <w:b/>
                <w:bCs/>
                <w:kern w:val="0"/>
                <w:sz w:val="24"/>
                <w:szCs w:val="24"/>
              </w:rPr>
              <w:t>单价</w:t>
            </w:r>
          </w:p>
        </w:tc>
        <w:tc>
          <w:tcPr>
            <w:tcW w:w="3551" w:type="dxa"/>
            <w:vAlign w:val="center"/>
          </w:tcPr>
          <w:p>
            <w:pPr>
              <w:autoSpaceDE w:val="0"/>
              <w:autoSpaceDN w:val="0"/>
              <w:adjustRightInd w:val="0"/>
              <w:spacing w:line="240" w:lineRule="exact"/>
              <w:jc w:val="center"/>
              <w:rPr>
                <w:rFonts w:ascii="宋体" w:hAnsi="宋体" w:eastAsia="宋体" w:cs="Times New Roman"/>
                <w:color w:val="FF0000"/>
                <w:kern w:val="0"/>
                <w:sz w:val="24"/>
                <w:szCs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5" w:type="dxa"/>
            <w:vAlign w:val="center"/>
          </w:tcPr>
          <w:p>
            <w:pPr>
              <w:autoSpaceDE w:val="0"/>
              <w:autoSpaceDN w:val="0"/>
              <w:adjustRightInd w:val="0"/>
              <w:jc w:val="center"/>
              <w:rPr>
                <w:rFonts w:ascii="宋体" w:hAnsi="宋体" w:eastAsia="宋体" w:cs="Times New Roman"/>
                <w:b/>
                <w:bCs/>
                <w:kern w:val="0"/>
                <w:sz w:val="24"/>
                <w:szCs w:val="24"/>
              </w:rPr>
            </w:pPr>
            <w:r>
              <w:rPr>
                <w:rFonts w:hint="eastAsia" w:ascii="宋体" w:hAnsi="宋体" w:eastAsia="宋体" w:cs="Times New Roman"/>
                <w:b/>
                <w:bCs/>
                <w:kern w:val="0"/>
                <w:sz w:val="24"/>
                <w:szCs w:val="24"/>
              </w:rPr>
              <w:t>生产年度</w:t>
            </w:r>
          </w:p>
        </w:tc>
        <w:tc>
          <w:tcPr>
            <w:tcW w:w="2127" w:type="dxa"/>
            <w:vAlign w:val="center"/>
          </w:tcPr>
          <w:p>
            <w:pPr>
              <w:autoSpaceDE w:val="0"/>
              <w:autoSpaceDN w:val="0"/>
              <w:adjustRightInd w:val="0"/>
              <w:spacing w:line="24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2023年</w:t>
            </w:r>
          </w:p>
        </w:tc>
        <w:tc>
          <w:tcPr>
            <w:tcW w:w="1134" w:type="dxa"/>
            <w:vAlign w:val="center"/>
          </w:tcPr>
          <w:p>
            <w:pPr>
              <w:autoSpaceDE w:val="0"/>
              <w:autoSpaceDN w:val="0"/>
              <w:adjustRightInd w:val="0"/>
              <w:spacing w:line="240" w:lineRule="exact"/>
              <w:jc w:val="center"/>
              <w:rPr>
                <w:rFonts w:ascii="宋体" w:hAnsi="宋体" w:eastAsia="宋体" w:cs="Times New Roman"/>
                <w:b/>
                <w:bCs/>
                <w:kern w:val="0"/>
                <w:sz w:val="24"/>
                <w:szCs w:val="24"/>
              </w:rPr>
            </w:pPr>
            <w:r>
              <w:rPr>
                <w:rFonts w:hint="eastAsia" w:ascii="宋体" w:hAnsi="宋体" w:eastAsia="宋体" w:cs="Times New Roman"/>
                <w:b/>
                <w:bCs/>
                <w:kern w:val="0"/>
                <w:sz w:val="24"/>
                <w:szCs w:val="24"/>
              </w:rPr>
              <w:t>产地</w:t>
            </w:r>
          </w:p>
        </w:tc>
        <w:tc>
          <w:tcPr>
            <w:tcW w:w="3551" w:type="dxa"/>
            <w:vAlign w:val="center"/>
          </w:tcPr>
          <w:p>
            <w:pPr>
              <w:autoSpaceDE w:val="0"/>
              <w:autoSpaceDN w:val="0"/>
              <w:adjustRightInd w:val="0"/>
              <w:spacing w:line="24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广东及邻近省份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5" w:type="dxa"/>
            <w:vAlign w:val="center"/>
          </w:tcPr>
          <w:p>
            <w:pPr>
              <w:autoSpaceDE w:val="0"/>
              <w:autoSpaceDN w:val="0"/>
              <w:adjustRightInd w:val="0"/>
              <w:ind w:firstLine="482" w:firstLineChars="200"/>
              <w:jc w:val="center"/>
              <w:rPr>
                <w:rFonts w:ascii="宋体" w:hAnsi="宋体" w:eastAsia="宋体" w:cs="Times New Roman"/>
                <w:b/>
                <w:bCs/>
                <w:kern w:val="0"/>
                <w:sz w:val="24"/>
                <w:szCs w:val="24"/>
              </w:rPr>
            </w:pPr>
            <w:r>
              <w:rPr>
                <w:rFonts w:hint="eastAsia" w:ascii="宋体" w:hAnsi="宋体" w:eastAsia="宋体" w:cs="Times New Roman"/>
                <w:b/>
                <w:bCs/>
                <w:kern w:val="0"/>
                <w:sz w:val="24"/>
                <w:szCs w:val="24"/>
              </w:rPr>
              <w:t>等级</w:t>
            </w:r>
          </w:p>
        </w:tc>
        <w:tc>
          <w:tcPr>
            <w:tcW w:w="2127" w:type="dxa"/>
            <w:vAlign w:val="center"/>
          </w:tcPr>
          <w:p>
            <w:pPr>
              <w:autoSpaceDE w:val="0"/>
              <w:autoSpaceDN w:val="0"/>
              <w:adjustRightInd w:val="0"/>
              <w:spacing w:line="240" w:lineRule="exact"/>
              <w:rPr>
                <w:rFonts w:ascii="宋体" w:hAnsi="宋体" w:eastAsia="宋体" w:cs="Times New Roman"/>
                <w:kern w:val="0"/>
                <w:sz w:val="24"/>
                <w:szCs w:val="24"/>
              </w:rPr>
            </w:pPr>
            <w:r>
              <w:rPr>
                <w:rFonts w:ascii="宋体" w:hAnsi="宋体" w:eastAsia="宋体" w:cs="Times New Roman"/>
                <w:kern w:val="0"/>
                <w:sz w:val="24"/>
                <w:szCs w:val="24"/>
              </w:rPr>
              <w:t>　　　</w:t>
            </w:r>
            <w:r>
              <w:rPr>
                <w:rFonts w:hint="eastAsia" w:ascii="宋体" w:hAnsi="宋体" w:eastAsia="宋体" w:cs="Times New Roman"/>
                <w:kern w:val="0"/>
                <w:sz w:val="24"/>
                <w:szCs w:val="24"/>
              </w:rPr>
              <w:t>三级</w:t>
            </w:r>
          </w:p>
        </w:tc>
        <w:tc>
          <w:tcPr>
            <w:tcW w:w="1134" w:type="dxa"/>
            <w:vAlign w:val="center"/>
          </w:tcPr>
          <w:p>
            <w:pPr>
              <w:autoSpaceDE w:val="0"/>
              <w:autoSpaceDN w:val="0"/>
              <w:adjustRightInd w:val="0"/>
              <w:spacing w:line="240" w:lineRule="exact"/>
              <w:jc w:val="center"/>
              <w:rPr>
                <w:rFonts w:ascii="宋体" w:hAnsi="宋体" w:eastAsia="宋体" w:cs="Times New Roman"/>
                <w:b/>
                <w:bCs/>
                <w:kern w:val="0"/>
                <w:sz w:val="24"/>
                <w:szCs w:val="24"/>
              </w:rPr>
            </w:pPr>
            <w:r>
              <w:rPr>
                <w:rFonts w:hint="eastAsia" w:ascii="宋体" w:hAnsi="宋体" w:eastAsia="宋体" w:cs="Times New Roman"/>
                <w:b/>
                <w:bCs/>
                <w:kern w:val="0"/>
                <w:sz w:val="24"/>
                <w:szCs w:val="24"/>
              </w:rPr>
              <w:t>包装</w:t>
            </w:r>
          </w:p>
        </w:tc>
        <w:tc>
          <w:tcPr>
            <w:tcW w:w="3551" w:type="dxa"/>
            <w:vAlign w:val="center"/>
          </w:tcPr>
          <w:p>
            <w:pPr>
              <w:autoSpaceDE w:val="0"/>
              <w:autoSpaceDN w:val="0"/>
              <w:adjustRightInd w:val="0"/>
              <w:spacing w:line="24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散装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575" w:type="dxa"/>
            <w:vAlign w:val="center"/>
          </w:tcPr>
          <w:p>
            <w:pPr>
              <w:autoSpaceDE w:val="0"/>
              <w:autoSpaceDN w:val="0"/>
              <w:adjustRightInd w:val="0"/>
              <w:jc w:val="center"/>
              <w:rPr>
                <w:rFonts w:ascii="宋体" w:hAnsi="宋体" w:eastAsia="宋体" w:cs="Times New Roman"/>
                <w:b/>
                <w:bCs/>
                <w:kern w:val="0"/>
                <w:sz w:val="24"/>
                <w:szCs w:val="24"/>
              </w:rPr>
            </w:pPr>
            <w:r>
              <w:rPr>
                <w:rFonts w:hint="eastAsia" w:ascii="宋体" w:hAnsi="宋体" w:eastAsia="宋体" w:cs="Times New Roman"/>
                <w:b/>
                <w:bCs/>
                <w:kern w:val="0"/>
                <w:sz w:val="24"/>
                <w:szCs w:val="24"/>
              </w:rPr>
              <w:t>总金额</w:t>
            </w:r>
          </w:p>
        </w:tc>
        <w:tc>
          <w:tcPr>
            <w:tcW w:w="6812" w:type="dxa"/>
            <w:gridSpan w:val="3"/>
            <w:vAlign w:val="center"/>
          </w:tcPr>
          <w:p>
            <w:pPr>
              <w:autoSpaceDE w:val="0"/>
              <w:autoSpaceDN w:val="0"/>
              <w:adjustRightInd w:val="0"/>
              <w:spacing w:line="24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575" w:type="dxa"/>
            <w:vAlign w:val="center"/>
          </w:tcPr>
          <w:p>
            <w:pPr>
              <w:autoSpaceDE w:val="0"/>
              <w:autoSpaceDN w:val="0"/>
              <w:adjustRightInd w:val="0"/>
              <w:jc w:val="center"/>
              <w:rPr>
                <w:rFonts w:ascii="宋体" w:hAnsi="宋体" w:eastAsia="宋体" w:cs="Times New Roman"/>
                <w:b/>
                <w:bCs/>
                <w:kern w:val="0"/>
                <w:sz w:val="24"/>
                <w:szCs w:val="24"/>
              </w:rPr>
            </w:pPr>
            <w:r>
              <w:rPr>
                <w:rFonts w:hint="eastAsia" w:ascii="宋体" w:hAnsi="宋体" w:eastAsia="宋体" w:cs="Times New Roman"/>
                <w:b/>
                <w:bCs/>
                <w:kern w:val="0"/>
                <w:sz w:val="24"/>
                <w:szCs w:val="24"/>
              </w:rPr>
              <w:t>交货方式</w:t>
            </w:r>
          </w:p>
        </w:tc>
        <w:tc>
          <w:tcPr>
            <w:tcW w:w="6812" w:type="dxa"/>
            <w:gridSpan w:val="3"/>
            <w:vAlign w:val="center"/>
          </w:tcPr>
          <w:p>
            <w:pPr>
              <w:autoSpaceDE w:val="0"/>
              <w:autoSpaceDN w:val="0"/>
              <w:adjustRightInd w:val="0"/>
              <w:spacing w:line="240" w:lineRule="exact"/>
              <w:rPr>
                <w:rFonts w:ascii="宋体" w:hAnsi="宋体" w:eastAsia="宋体" w:cs="Times New Roman"/>
                <w:kern w:val="0"/>
                <w:sz w:val="24"/>
                <w:szCs w:val="24"/>
              </w:rPr>
            </w:pPr>
            <w:r>
              <w:rPr>
                <w:rFonts w:hint="eastAsia" w:ascii="宋体" w:hAnsi="宋体" w:eastAsia="宋体" w:cs="Times New Roman"/>
                <w:kern w:val="0"/>
                <w:sz w:val="24"/>
                <w:szCs w:val="24"/>
              </w:rPr>
              <w:t>进仓堆好平整后交货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1575" w:type="dxa"/>
          </w:tcPr>
          <w:p>
            <w:pPr>
              <w:autoSpaceDE w:val="0"/>
              <w:autoSpaceDN w:val="0"/>
              <w:adjustRightInd w:val="0"/>
              <w:jc w:val="center"/>
              <w:rPr>
                <w:rFonts w:ascii="宋体" w:hAnsi="宋体" w:eastAsia="宋体" w:cs="Times New Roman"/>
                <w:b/>
                <w:bCs/>
                <w:kern w:val="0"/>
                <w:sz w:val="24"/>
                <w:szCs w:val="24"/>
              </w:rPr>
            </w:pPr>
            <w:r>
              <w:rPr>
                <w:rFonts w:hint="eastAsia" w:ascii="宋体" w:hAnsi="宋体" w:eastAsia="宋体" w:cs="Times New Roman"/>
                <w:b/>
                <w:bCs/>
                <w:kern w:val="0"/>
                <w:sz w:val="24"/>
                <w:szCs w:val="24"/>
              </w:rPr>
              <w:t>交货期限</w:t>
            </w:r>
          </w:p>
        </w:tc>
        <w:tc>
          <w:tcPr>
            <w:tcW w:w="6812" w:type="dxa"/>
            <w:gridSpan w:val="3"/>
            <w:vAlign w:val="center"/>
          </w:tcPr>
          <w:p>
            <w:pPr>
              <w:autoSpaceDE w:val="0"/>
              <w:autoSpaceDN w:val="0"/>
              <w:adjustRightInd w:val="0"/>
              <w:spacing w:line="240" w:lineRule="exact"/>
              <w:rPr>
                <w:rFonts w:ascii="宋体" w:hAnsi="宋体" w:eastAsia="宋体" w:cs="Times New Roman"/>
                <w:kern w:val="0"/>
                <w:sz w:val="24"/>
                <w:szCs w:val="24"/>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5" w:hRule="atLeast"/>
          <w:jc w:val="center"/>
        </w:trPr>
        <w:tc>
          <w:tcPr>
            <w:tcW w:w="1575" w:type="dxa"/>
          </w:tcPr>
          <w:p>
            <w:pPr>
              <w:autoSpaceDE w:val="0"/>
              <w:autoSpaceDN w:val="0"/>
              <w:adjustRightInd w:val="0"/>
              <w:jc w:val="center"/>
              <w:rPr>
                <w:rFonts w:ascii="宋体" w:hAnsi="宋体" w:eastAsia="宋体" w:cs="Times New Roman"/>
                <w:b/>
                <w:bCs/>
                <w:kern w:val="0"/>
                <w:sz w:val="24"/>
                <w:szCs w:val="24"/>
              </w:rPr>
            </w:pPr>
            <w:r>
              <w:rPr>
                <w:rFonts w:hint="eastAsia" w:ascii="宋体" w:hAnsi="宋体" w:eastAsia="宋体" w:cs="Times New Roman"/>
                <w:b/>
                <w:bCs/>
                <w:kern w:val="0"/>
                <w:sz w:val="24"/>
                <w:szCs w:val="24"/>
              </w:rPr>
              <w:t>存放地点</w:t>
            </w:r>
          </w:p>
        </w:tc>
        <w:tc>
          <w:tcPr>
            <w:tcW w:w="6812" w:type="dxa"/>
            <w:gridSpan w:val="3"/>
            <w:vAlign w:val="center"/>
          </w:tcPr>
          <w:p>
            <w:pPr>
              <w:autoSpaceDE w:val="0"/>
              <w:autoSpaceDN w:val="0"/>
              <w:adjustRightInd w:val="0"/>
              <w:spacing w:line="240" w:lineRule="exact"/>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7" w:hRule="atLeast"/>
          <w:jc w:val="center"/>
        </w:trPr>
        <w:tc>
          <w:tcPr>
            <w:tcW w:w="8387" w:type="dxa"/>
            <w:gridSpan w:val="4"/>
            <w:tcBorders>
              <w:bottom w:val="single" w:color="auto" w:sz="4" w:space="0"/>
            </w:tcBorders>
            <w:vAlign w:val="center"/>
          </w:tcPr>
          <w:p>
            <w:pPr>
              <w:tabs>
                <w:tab w:val="left" w:pos="5823"/>
              </w:tabs>
              <w:autoSpaceDE w:val="0"/>
              <w:autoSpaceDN w:val="0"/>
              <w:adjustRightInd w:val="0"/>
              <w:spacing w:line="240" w:lineRule="exact"/>
              <w:rPr>
                <w:rFonts w:ascii="宋体" w:hAnsi="宋体" w:eastAsia="宋体" w:cs="Times New Roman"/>
                <w:kern w:val="0"/>
                <w:sz w:val="24"/>
                <w:szCs w:val="24"/>
              </w:rPr>
            </w:pPr>
            <w:r>
              <w:rPr>
                <w:rFonts w:hint="eastAsia" w:ascii="宋体" w:hAnsi="宋体" w:eastAsia="宋体" w:cs="Times New Roman"/>
                <w:kern w:val="0"/>
                <w:sz w:val="24"/>
                <w:szCs w:val="24"/>
              </w:rPr>
              <w:t>质量标准：执行GB1350-2009三级（含三级）稻谷以上标准，质量检测主要指标达到：出糙率≥75%、整精米率≥44%、杂质≤1.0%、水分≤13.5%、黄粒米≤1%、脂肪酸值≤</w:t>
            </w:r>
            <w:r>
              <w:rPr>
                <w:rFonts w:ascii="宋体" w:hAnsi="宋体" w:eastAsia="宋体" w:cs="Times New Roman"/>
                <w:kern w:val="0"/>
                <w:sz w:val="24"/>
                <w:szCs w:val="24"/>
              </w:rPr>
              <w:t>2</w:t>
            </w:r>
            <w:r>
              <w:rPr>
                <w:rFonts w:hint="eastAsia" w:ascii="宋体" w:hAnsi="宋体" w:eastAsia="宋体" w:cs="Times New Roman"/>
                <w:kern w:val="0"/>
                <w:sz w:val="24"/>
                <w:szCs w:val="24"/>
              </w:rPr>
              <w:t>1</w:t>
            </w:r>
            <w:r>
              <w:rPr>
                <w:rFonts w:ascii="宋体" w:hAnsi="宋体" w:eastAsia="宋体" w:cs="Times New Roman"/>
                <w:kern w:val="0"/>
                <w:sz w:val="24"/>
                <w:szCs w:val="24"/>
              </w:rPr>
              <w:t>MGkoh</w:t>
            </w:r>
            <w:r>
              <w:rPr>
                <w:rFonts w:hint="eastAsia" w:ascii="宋体" w:hAnsi="宋体" w:eastAsia="宋体" w:cs="Times New Roman"/>
                <w:kern w:val="0"/>
                <w:sz w:val="24"/>
                <w:szCs w:val="24"/>
              </w:rPr>
              <w:t>/100g、镉≤0.2mg∕kg。色泽气味正常，无虫害，符合国家粮食卫生标准。</w:t>
            </w:r>
          </w:p>
        </w:tc>
      </w:tr>
    </w:tbl>
    <w:p>
      <w:pPr>
        <w:autoSpaceDE w:val="0"/>
        <w:autoSpaceDN w:val="0"/>
        <w:adjustRightInd w:val="0"/>
        <w:spacing w:line="320" w:lineRule="exact"/>
        <w:ind w:firstLine="480"/>
        <w:rPr>
          <w:rFonts w:ascii="宋体" w:hAnsi="宋体" w:eastAsia="宋体" w:cs="Times New Roman"/>
          <w:kern w:val="0"/>
          <w:sz w:val="24"/>
          <w:szCs w:val="24"/>
        </w:rPr>
      </w:pPr>
      <w:r>
        <w:rPr>
          <w:rFonts w:hint="eastAsia" w:ascii="宋体" w:hAnsi="宋体" w:eastAsia="宋体" w:cs="Times New Roman"/>
          <w:kern w:val="0"/>
          <w:sz w:val="24"/>
          <w:szCs w:val="24"/>
        </w:rPr>
        <w:t>二、</w:t>
      </w:r>
      <w:r>
        <w:rPr>
          <w:rFonts w:ascii="宋体" w:hAnsi="宋体" w:eastAsia="宋体" w:cs="Times New Roman"/>
          <w:kern w:val="0"/>
          <w:sz w:val="24"/>
          <w:szCs w:val="24"/>
        </w:rPr>
        <w:t>验收交货方式：买方以本合同约定的质量指标标准按国家规定的粮食检验办法和操作规程进行初检验质（一车一检），检验合格后以技术监督部门检验合格的</w:t>
      </w:r>
      <w:r>
        <w:rPr>
          <w:rFonts w:hint="eastAsia" w:ascii="宋体" w:hAnsi="宋体" w:eastAsia="宋体" w:cs="Times New Roman"/>
          <w:kern w:val="0"/>
          <w:sz w:val="24"/>
          <w:szCs w:val="24"/>
        </w:rPr>
        <w:t>本库</w:t>
      </w:r>
      <w:r>
        <w:rPr>
          <w:rFonts w:ascii="宋体" w:hAnsi="宋体" w:eastAsia="宋体" w:cs="Times New Roman"/>
          <w:kern w:val="0"/>
          <w:sz w:val="24"/>
          <w:szCs w:val="24"/>
        </w:rPr>
        <w:t>计量工具进行验斤过磅计毛重，在指定交货地点进行除杂（杂质随车过磅除皮退回）后准予入库，按实际过磅数量接收。如粮食初检质量不符合本合同约定的质量标准，买方有权不予接收，由卖方自行处理并承担所发生的一切费用。</w:t>
      </w:r>
      <w:r>
        <w:rPr>
          <w:rFonts w:hint="eastAsia" w:ascii="宋体" w:hAnsi="宋体" w:eastAsia="宋体" w:cs="Times New Roman"/>
          <w:kern w:val="0"/>
          <w:sz w:val="24"/>
          <w:szCs w:val="24"/>
        </w:rPr>
        <w:t>卖方严禁将走私农产品流入国家粮食储备体系，一经发现将对违法违规企业由有关部门作出严肃处理。卖方需向买方提供《粮食质量安全信用承诺书》。</w:t>
      </w:r>
    </w:p>
    <w:p>
      <w:pPr>
        <w:autoSpaceDE w:val="0"/>
        <w:autoSpaceDN w:val="0"/>
        <w:adjustRightInd w:val="0"/>
        <w:spacing w:line="320" w:lineRule="exact"/>
        <w:ind w:firstLine="480" w:firstLineChars="200"/>
        <w:rPr>
          <w:rFonts w:ascii="宋体" w:hAnsi="宋体" w:eastAsia="宋体" w:cs="Times New Roman"/>
          <w:color w:val="FF0000"/>
          <w:sz w:val="24"/>
        </w:rPr>
      </w:pPr>
      <w:r>
        <w:rPr>
          <w:rFonts w:hint="eastAsia" w:ascii="宋体" w:hAnsi="宋体" w:eastAsia="宋体" w:cs="Times New Roman"/>
          <w:sz w:val="24"/>
        </w:rPr>
        <w:t>买方入库初检结果不作为验收依据，待全部货物入库后由买方委托有资质的第三方检测机构进行质量检验，检验合格后，双方签署《实物交割单》，质检费用由买方承担。如经第三方检验</w:t>
      </w:r>
      <w:r>
        <w:rPr>
          <w:rFonts w:ascii="宋体" w:hAnsi="宋体" w:eastAsia="宋体" w:cs="Times New Roman"/>
          <w:sz w:val="24"/>
          <w:szCs w:val="24"/>
        </w:rPr>
        <w:t>粮食入库后镉含量指标检测不合格的，买方一律退货，由此产生的一切责任和费用概由卖方负责。</w:t>
      </w:r>
    </w:p>
    <w:p>
      <w:pPr>
        <w:autoSpaceDE w:val="0"/>
        <w:autoSpaceDN w:val="0"/>
        <w:adjustRightInd w:val="0"/>
        <w:spacing w:line="276" w:lineRule="auto"/>
        <w:ind w:firstLine="480" w:firstLineChars="200"/>
        <w:rPr>
          <w:rFonts w:ascii="宋体" w:hAnsi="Times New Roman" w:eastAsia="宋体" w:cs="Times New Roman"/>
          <w:kern w:val="0"/>
          <w:sz w:val="24"/>
          <w:szCs w:val="24"/>
        </w:rPr>
      </w:pPr>
      <w:r>
        <w:rPr>
          <w:rFonts w:hint="eastAsia" w:ascii="宋体" w:hAnsi="宋体" w:eastAsia="宋体" w:cs="Times New Roman"/>
          <w:kern w:val="0"/>
          <w:sz w:val="24"/>
          <w:szCs w:val="24"/>
        </w:rPr>
        <w:t>三、费用承担：入仓时由卖方与有资质的第三方劳务装卸服务公司签订搬运安全责任协议书。卖方承担交货前的一切费用，包括运费、搬运装卸、仓内平整粮面、交货短途费等，买方不承担任何费用。买方向卖方收取20元/吨的入仓服务费（含过磅费、水电费、设备使用</w:t>
      </w:r>
      <w:r>
        <w:rPr>
          <w:rFonts w:hint="eastAsia" w:ascii="宋体" w:hAnsi="宋体" w:eastAsia="宋体" w:cs="Times New Roman"/>
          <w:sz w:val="24"/>
          <w:szCs w:val="24"/>
        </w:rPr>
        <w:t>费</w:t>
      </w:r>
      <w:r>
        <w:rPr>
          <w:rFonts w:hint="eastAsia" w:ascii="宋体" w:hAnsi="宋体" w:eastAsia="宋体" w:cs="Times New Roman"/>
          <w:kern w:val="0"/>
          <w:sz w:val="24"/>
          <w:szCs w:val="24"/>
        </w:rPr>
        <w:t>等）。</w:t>
      </w:r>
    </w:p>
    <w:p>
      <w:pPr>
        <w:autoSpaceDE w:val="0"/>
        <w:autoSpaceDN w:val="0"/>
        <w:adjustRightInd w:val="0"/>
        <w:spacing w:line="3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四、货款结算：</w:t>
      </w:r>
      <w:r>
        <w:rPr>
          <w:rFonts w:hint="eastAsia" w:ascii="宋体" w:hAnsi="宋体" w:eastAsia="宋体" w:cs="Times New Roman"/>
          <w:kern w:val="0"/>
          <w:sz w:val="24"/>
          <w:szCs w:val="24"/>
        </w:rPr>
        <w:t>采用分段付款方式，粮食运到指定仓库并验收入库后，累计达500吨为结算起点，以后每500吨结算一次。粮食入库任务完成付总货款额80%，剩余20%待第三方质检机构对入库粮食质量抽检合格，经县粮食行政管理部门和县财政局验收确认后付清。</w:t>
      </w:r>
    </w:p>
    <w:p>
      <w:pPr>
        <w:autoSpaceDE w:val="0"/>
        <w:autoSpaceDN w:val="0"/>
        <w:adjustRightInd w:val="0"/>
        <w:spacing w:line="320" w:lineRule="exact"/>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五、结算凭证：卖方提供本单位开出的有效货物销售增值税发票。</w:t>
      </w:r>
    </w:p>
    <w:p>
      <w:pPr>
        <w:autoSpaceDE w:val="0"/>
        <w:autoSpaceDN w:val="0"/>
        <w:adjustRightInd w:val="0"/>
        <w:spacing w:line="320" w:lineRule="exact"/>
        <w:ind w:firstLine="480" w:firstLineChars="200"/>
        <w:rPr>
          <w:rFonts w:ascii="宋体" w:hAnsi="宋体" w:eastAsia="宋体" w:cs="Times New Roman"/>
          <w:kern w:val="0"/>
          <w:sz w:val="24"/>
          <w:szCs w:val="24"/>
        </w:rPr>
      </w:pPr>
      <w:r>
        <w:rPr>
          <w:rFonts w:hint="eastAsia" w:ascii="宋体" w:hAnsi="宋体" w:eastAsia="宋体" w:cs="Times New Roman"/>
          <w:sz w:val="24"/>
          <w:szCs w:val="24"/>
        </w:rPr>
        <w:t>六、其他事项：</w:t>
      </w:r>
    </w:p>
    <w:p>
      <w:pPr>
        <w:spacing w:line="3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1、卖方必须提供产粮地的有效质检证明(即索票索证）。</w:t>
      </w:r>
    </w:p>
    <w:p>
      <w:pPr>
        <w:spacing w:line="3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2、卖方在进库过程中要负责做好装运的安全生产工作，若发生安全事故，造成人员伤亡和财产损失由卖方承担全部责任。</w:t>
      </w:r>
    </w:p>
    <w:p>
      <w:pPr>
        <w:spacing w:line="3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七、违约责任：如有任何一方违约，违约部分保证金划归对方，并承担对方违约部分交易手续费，交易中心不承担经济责任。</w:t>
      </w:r>
    </w:p>
    <w:p>
      <w:pPr>
        <w:spacing w:line="320" w:lineRule="exact"/>
        <w:ind w:firstLine="480" w:firstLineChars="200"/>
        <w:rPr>
          <w:rFonts w:ascii="宋体" w:hAnsi="宋体" w:eastAsia="宋体" w:cs="Times New Roman"/>
          <w:sz w:val="24"/>
          <w:szCs w:val="24"/>
        </w:rPr>
      </w:pPr>
      <w:r>
        <w:rPr>
          <w:rFonts w:hint="eastAsia" w:ascii="宋体" w:hAnsi="宋体" w:eastAsia="宋体" w:cs="Times New Roman"/>
          <w:kern w:val="0"/>
          <w:sz w:val="24"/>
          <w:szCs w:val="24"/>
        </w:rPr>
        <w:t>八、争议解决</w:t>
      </w:r>
    </w:p>
    <w:p>
      <w:pPr>
        <w:spacing w:line="320" w:lineRule="exact"/>
        <w:ind w:firstLine="480" w:firstLineChars="200"/>
        <w:rPr>
          <w:rFonts w:ascii="宋体" w:hAnsi="宋体" w:eastAsia="宋体" w:cs="Times New Roman"/>
          <w:sz w:val="24"/>
          <w:szCs w:val="24"/>
        </w:rPr>
      </w:pPr>
      <w:r>
        <w:rPr>
          <w:rFonts w:hint="eastAsia" w:ascii="宋体" w:hAnsi="宋体" w:eastAsia="宋体" w:cs="Times New Roman"/>
          <w:kern w:val="0"/>
          <w:sz w:val="24"/>
          <w:szCs w:val="24"/>
        </w:rPr>
        <w:t>1、出现不明确责任情况，由交易中心协调解决；</w:t>
      </w:r>
    </w:p>
    <w:p>
      <w:pPr>
        <w:spacing w:line="320" w:lineRule="exact"/>
        <w:ind w:firstLine="480" w:firstLineChars="200"/>
        <w:rPr>
          <w:rFonts w:ascii="宋体" w:hAnsi="宋体" w:eastAsia="宋体" w:cs="Times New Roman"/>
          <w:sz w:val="24"/>
          <w:szCs w:val="24"/>
        </w:rPr>
      </w:pPr>
      <w:r>
        <w:rPr>
          <w:rFonts w:hint="eastAsia" w:ascii="宋体" w:hAnsi="宋体" w:eastAsia="宋体" w:cs="Times New Roman"/>
          <w:kern w:val="0"/>
          <w:sz w:val="24"/>
          <w:szCs w:val="24"/>
        </w:rPr>
        <w:t>2、卖方逾期交货（含因质量不合格被买方拒收造成的逾期交货），逾期供货20天内，每逾期一天，按逾期交货总金额的0.2%向买方支付滞纳金；</w:t>
      </w:r>
      <w:r>
        <w:rPr>
          <w:rFonts w:hint="eastAsia" w:ascii="宋体" w:hAnsi="宋体" w:eastAsia="宋体" w:cs="Times New Roman"/>
          <w:sz w:val="24"/>
          <w:szCs w:val="24"/>
        </w:rPr>
        <w:t>超过21天的，由交易中心通知卖方停止供货，并按50元/吨扣罚中标单位逾期费</w:t>
      </w:r>
      <w:r>
        <w:rPr>
          <w:rFonts w:hint="eastAsia" w:ascii="宋体" w:hAnsi="宋体" w:eastAsia="宋体" w:cs="Times New Roman"/>
          <w:kern w:val="0"/>
          <w:sz w:val="24"/>
          <w:szCs w:val="24"/>
        </w:rPr>
        <w:t>。由于不可抗力原因导致卖方逾期交货，卖方应在一周内向买方及交易中心提交书面报告，说明货物受阻、受影响数量等情况，经交易中心核实，并征得买方同意后，相应顺延合同履行期限。</w:t>
      </w:r>
    </w:p>
    <w:p>
      <w:pPr>
        <w:spacing w:line="320" w:lineRule="exact"/>
        <w:ind w:firstLine="480" w:firstLineChars="200"/>
        <w:rPr>
          <w:rFonts w:ascii="宋体" w:hAnsi="宋体" w:eastAsia="宋体" w:cs="Times New Roman"/>
          <w:sz w:val="24"/>
          <w:szCs w:val="24"/>
        </w:rPr>
      </w:pPr>
      <w:r>
        <w:rPr>
          <w:rFonts w:hint="eastAsia" w:ascii="宋体" w:hAnsi="宋体" w:eastAsia="宋体" w:cs="Times New Roman"/>
          <w:kern w:val="0"/>
          <w:sz w:val="24"/>
          <w:szCs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pPr>
        <w:autoSpaceDE w:val="0"/>
        <w:autoSpaceDN w:val="0"/>
        <w:adjustRightInd w:val="0"/>
        <w:spacing w:line="320" w:lineRule="exact"/>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4、买卖双方如就质量问题发生争议，双方共同扦样并委托广东省技术监督粮油产品质量监督检验站检验鉴定，费用由责任方负担。</w:t>
      </w:r>
    </w:p>
    <w:p>
      <w:pPr>
        <w:spacing w:line="320" w:lineRule="exact"/>
        <w:ind w:firstLine="480" w:firstLineChars="200"/>
        <w:rPr>
          <w:rFonts w:ascii="宋体" w:hAnsi="宋体" w:eastAsia="宋体" w:cs="Times New Roman"/>
          <w:sz w:val="24"/>
          <w:szCs w:val="24"/>
        </w:rPr>
      </w:pPr>
      <w:r>
        <w:rPr>
          <w:rFonts w:ascii="宋体" w:hAnsi="宋体" w:eastAsia="宋体" w:cs="Times New Roman"/>
          <w:sz w:val="24"/>
          <w:szCs w:val="24"/>
        </w:rPr>
        <w:t>九</w:t>
      </w:r>
      <w:r>
        <w:rPr>
          <w:rFonts w:hint="eastAsia" w:ascii="宋体" w:hAnsi="宋体" w:eastAsia="宋体" w:cs="Times New Roman"/>
          <w:kern w:val="0"/>
          <w:sz w:val="24"/>
          <w:szCs w:val="24"/>
        </w:rPr>
        <w:t>、本合同自签订之日起生效，双方履行完毕后，自然终止。</w:t>
      </w:r>
    </w:p>
    <w:p>
      <w:pPr>
        <w:spacing w:line="320" w:lineRule="exact"/>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十、如有未尽事宜，买卖双方同意按照《梅州市嘉应粮食交易中心竞价交易规则》《梅州市嘉应粮食交易中心竞价交易细则》的相关条款协商解决。协商不成的，提交有关部门或</w:t>
      </w:r>
      <w:r>
        <w:rPr>
          <w:rFonts w:hint="eastAsia" w:ascii="宋体" w:hAnsi="宋体" w:eastAsia="宋体" w:cs="Times New Roman"/>
          <w:sz w:val="24"/>
          <w:szCs w:val="24"/>
        </w:rPr>
        <w:t>通过法律程序解决。</w:t>
      </w:r>
    </w:p>
    <w:p>
      <w:pPr>
        <w:spacing w:line="320" w:lineRule="exact"/>
        <w:ind w:firstLine="480" w:firstLineChars="200"/>
        <w:rPr>
          <w:rFonts w:ascii="宋体" w:hAnsi="宋体" w:eastAsia="宋体" w:cs="Times New Roman"/>
          <w:sz w:val="24"/>
          <w:szCs w:val="24"/>
        </w:rPr>
      </w:pPr>
      <w:r>
        <w:rPr>
          <w:rFonts w:hint="eastAsia" w:ascii="宋体" w:hAnsi="宋体" w:eastAsia="宋体" w:cs="Times New Roman"/>
          <w:kern w:val="0"/>
          <w:sz w:val="24"/>
          <w:szCs w:val="24"/>
        </w:rPr>
        <w:t>十一、本合同一式三份，买卖双方、确认单位各执一份。</w:t>
      </w:r>
    </w:p>
    <w:p>
      <w:pPr>
        <w:autoSpaceDE w:val="0"/>
        <w:autoSpaceDN w:val="0"/>
        <w:adjustRightInd w:val="0"/>
        <w:spacing w:line="320" w:lineRule="exact"/>
        <w:ind w:firstLine="200"/>
        <w:rPr>
          <w:rFonts w:ascii="宋体" w:hAnsi="宋体" w:eastAsia="宋体" w:cs="Times New Roman"/>
          <w:kern w:val="0"/>
          <w:sz w:val="24"/>
          <w:szCs w:val="24"/>
        </w:rPr>
      </w:pPr>
    </w:p>
    <w:p>
      <w:pPr>
        <w:autoSpaceDE w:val="0"/>
        <w:autoSpaceDN w:val="0"/>
        <w:adjustRightInd w:val="0"/>
        <w:spacing w:line="320" w:lineRule="exact"/>
        <w:ind w:firstLine="200"/>
        <w:rPr>
          <w:rFonts w:ascii="宋体" w:hAnsi="宋体" w:eastAsia="宋体" w:cs="Times New Roman"/>
          <w:kern w:val="0"/>
          <w:sz w:val="24"/>
          <w:szCs w:val="24"/>
        </w:rPr>
      </w:pPr>
    </w:p>
    <w:p>
      <w:pPr>
        <w:autoSpaceDE w:val="0"/>
        <w:autoSpaceDN w:val="0"/>
        <w:adjustRightInd w:val="0"/>
        <w:spacing w:line="320" w:lineRule="exact"/>
        <w:ind w:firstLine="200"/>
        <w:rPr>
          <w:rFonts w:ascii="宋体" w:hAnsi="宋体" w:eastAsia="宋体" w:cs="Times New Roman"/>
          <w:kern w:val="0"/>
          <w:sz w:val="24"/>
          <w:szCs w:val="24"/>
        </w:rPr>
      </w:pPr>
    </w:p>
    <w:p>
      <w:pPr>
        <w:autoSpaceDE w:val="0"/>
        <w:autoSpaceDN w:val="0"/>
        <w:adjustRightInd w:val="0"/>
        <w:spacing w:line="320" w:lineRule="exact"/>
        <w:ind w:firstLine="200"/>
        <w:rPr>
          <w:rFonts w:ascii="宋体" w:hAnsi="宋体" w:eastAsia="宋体" w:cs="Times New Roman"/>
          <w:kern w:val="0"/>
          <w:sz w:val="24"/>
          <w:szCs w:val="24"/>
        </w:rPr>
      </w:pPr>
      <w:r>
        <w:rPr>
          <w:rFonts w:hint="eastAsia" w:ascii="宋体" w:hAnsi="宋体" w:eastAsia="宋体" w:cs="Times New Roman"/>
          <w:kern w:val="0"/>
          <w:sz w:val="24"/>
          <w:szCs w:val="24"/>
        </w:rPr>
        <w:t xml:space="preserve">买方单位（盖章）：                  卖方单位（盖章）： </w:t>
      </w:r>
    </w:p>
    <w:p>
      <w:pPr>
        <w:autoSpaceDE w:val="0"/>
        <w:autoSpaceDN w:val="0"/>
        <w:adjustRightInd w:val="0"/>
        <w:spacing w:line="320" w:lineRule="exact"/>
        <w:ind w:firstLine="200"/>
        <w:rPr>
          <w:rFonts w:ascii="宋体" w:hAnsi="宋体" w:eastAsia="宋体" w:cs="Times New Roman"/>
          <w:kern w:val="0"/>
          <w:sz w:val="24"/>
          <w:szCs w:val="24"/>
        </w:rPr>
      </w:pPr>
    </w:p>
    <w:p>
      <w:pPr>
        <w:autoSpaceDE w:val="0"/>
        <w:autoSpaceDN w:val="0"/>
        <w:adjustRightInd w:val="0"/>
        <w:spacing w:line="320" w:lineRule="exact"/>
        <w:ind w:firstLine="200"/>
        <w:rPr>
          <w:rFonts w:ascii="宋体" w:hAnsi="宋体" w:eastAsia="宋体" w:cs="Times New Roman"/>
          <w:kern w:val="0"/>
          <w:sz w:val="24"/>
          <w:szCs w:val="24"/>
        </w:rPr>
      </w:pPr>
    </w:p>
    <w:p>
      <w:pPr>
        <w:autoSpaceDE w:val="0"/>
        <w:autoSpaceDN w:val="0"/>
        <w:adjustRightInd w:val="0"/>
        <w:spacing w:line="320" w:lineRule="exact"/>
        <w:ind w:firstLine="200"/>
        <w:rPr>
          <w:rFonts w:ascii="宋体" w:hAnsi="宋体" w:eastAsia="宋体" w:cs="Times New Roman"/>
          <w:kern w:val="0"/>
          <w:sz w:val="24"/>
          <w:szCs w:val="24"/>
        </w:rPr>
      </w:pPr>
      <w:r>
        <w:rPr>
          <w:rFonts w:hint="eastAsia" w:ascii="宋体" w:hAnsi="宋体" w:eastAsia="宋体" w:cs="Times New Roman"/>
          <w:kern w:val="0"/>
          <w:sz w:val="24"/>
          <w:szCs w:val="24"/>
        </w:rPr>
        <w:t>法人或代理人（签字）：              法人或代理人（签字）：</w:t>
      </w:r>
    </w:p>
    <w:p>
      <w:pPr>
        <w:spacing w:line="320" w:lineRule="exact"/>
        <w:ind w:firstLine="200"/>
        <w:rPr>
          <w:rFonts w:ascii="宋体" w:hAnsi="宋体" w:eastAsia="宋体" w:cs="Times New Roman"/>
          <w:kern w:val="0"/>
          <w:sz w:val="24"/>
          <w:szCs w:val="24"/>
        </w:rPr>
      </w:pPr>
    </w:p>
    <w:p>
      <w:pPr>
        <w:spacing w:line="320" w:lineRule="exact"/>
        <w:ind w:firstLine="200"/>
        <w:rPr>
          <w:rFonts w:ascii="宋体" w:hAnsi="宋体" w:eastAsia="宋体" w:cs="Times New Roman"/>
          <w:sz w:val="24"/>
          <w:szCs w:val="24"/>
        </w:rPr>
      </w:pPr>
    </w:p>
    <w:p>
      <w:pPr>
        <w:spacing w:line="320" w:lineRule="exact"/>
        <w:ind w:firstLine="200"/>
        <w:rPr>
          <w:rFonts w:ascii="宋体" w:hAnsi="宋体" w:eastAsia="宋体" w:cs="Times New Roman"/>
          <w:sz w:val="24"/>
          <w:szCs w:val="24"/>
        </w:rPr>
      </w:pPr>
      <w:r>
        <w:rPr>
          <w:rFonts w:hint="eastAsia" w:ascii="宋体" w:hAnsi="宋体" w:eastAsia="宋体" w:cs="Times New Roman"/>
          <w:sz w:val="24"/>
          <w:szCs w:val="24"/>
        </w:rPr>
        <w:t>确认单位：梅州市嘉应粮食交易中心有限公司</w:t>
      </w:r>
    </w:p>
    <w:p>
      <w:pPr>
        <w:spacing w:line="320" w:lineRule="exact"/>
        <w:ind w:firstLine="200"/>
        <w:rPr>
          <w:rFonts w:ascii="宋体" w:hAnsi="宋体" w:eastAsia="宋体" w:cs="Times New Roman"/>
          <w:sz w:val="24"/>
          <w:szCs w:val="24"/>
        </w:rPr>
      </w:pPr>
      <w:r>
        <w:rPr>
          <w:rFonts w:hint="eastAsia" w:ascii="宋体" w:hAnsi="宋体" w:eastAsia="宋体" w:cs="Times New Roman"/>
          <w:kern w:val="0"/>
          <w:sz w:val="24"/>
          <w:szCs w:val="24"/>
        </w:rPr>
        <w:t>电话（传真）</w:t>
      </w:r>
      <w:r>
        <w:rPr>
          <w:rFonts w:hint="eastAsia" w:ascii="宋体" w:hAnsi="宋体" w:eastAsia="宋体" w:cs="Times New Roman"/>
          <w:sz w:val="24"/>
          <w:szCs w:val="24"/>
        </w:rPr>
        <w:t xml:space="preserve">：0753-2128232   0753-2128231     </w:t>
      </w:r>
    </w:p>
    <w:p>
      <w:pPr>
        <w:spacing w:line="320" w:lineRule="exact"/>
        <w:ind w:firstLine="200"/>
        <w:rPr>
          <w:rFonts w:ascii="宋体" w:hAnsi="宋体" w:eastAsia="宋体" w:cs="Times New Roman"/>
          <w:kern w:val="0"/>
          <w:sz w:val="24"/>
          <w:szCs w:val="24"/>
        </w:rPr>
      </w:pPr>
    </w:p>
    <w:p>
      <w:pPr>
        <w:spacing w:line="320" w:lineRule="exact"/>
        <w:ind w:firstLine="200"/>
        <w:rPr>
          <w:rFonts w:ascii="宋体" w:hAnsi="宋体" w:eastAsia="宋体" w:cs="Times New Roman"/>
          <w:kern w:val="0"/>
          <w:sz w:val="24"/>
          <w:szCs w:val="24"/>
        </w:rPr>
      </w:pPr>
    </w:p>
    <w:p>
      <w:pPr>
        <w:spacing w:line="500" w:lineRule="exact"/>
        <w:jc w:val="right"/>
        <w:rPr>
          <w:rFonts w:ascii="宋体" w:hAnsi="宋体"/>
          <w:color w:val="FF0000"/>
          <w:sz w:val="24"/>
        </w:rPr>
      </w:pPr>
      <w:r>
        <w:rPr>
          <w:rFonts w:hint="eastAsia"/>
          <w:lang w:val="en-US" w:eastAsia="zh-CN"/>
        </w:rPr>
        <w:t xml:space="preserve">                         </w:t>
      </w:r>
      <w:r>
        <w:rPr>
          <w:rFonts w:hint="eastAsia"/>
          <w:color w:val="auto"/>
          <w:lang w:val="en-US" w:eastAsia="zh-CN"/>
        </w:rPr>
        <w:t xml:space="preserve">   </w:t>
      </w:r>
      <w:r>
        <w:rPr>
          <w:rFonts w:hint="eastAsia" w:ascii="宋体" w:hAnsi="宋体"/>
          <w:color w:val="auto"/>
          <w:sz w:val="24"/>
        </w:rPr>
        <w:t>202</w:t>
      </w:r>
      <w:r>
        <w:rPr>
          <w:rFonts w:hint="eastAsia" w:ascii="宋体" w:hAnsi="宋体"/>
          <w:color w:val="auto"/>
          <w:sz w:val="24"/>
          <w:lang w:val="en-US" w:eastAsia="zh-CN"/>
        </w:rPr>
        <w:t>4</w:t>
      </w:r>
      <w:r>
        <w:rPr>
          <w:rFonts w:hint="eastAsia" w:ascii="宋体" w:hAnsi="宋体"/>
          <w:color w:val="auto"/>
          <w:sz w:val="24"/>
        </w:rPr>
        <w:t>年</w:t>
      </w:r>
      <w:r>
        <w:rPr>
          <w:rFonts w:hint="eastAsia" w:ascii="宋体" w:hAnsi="宋体"/>
          <w:color w:val="auto"/>
          <w:sz w:val="24"/>
          <w:lang w:val="en-US" w:eastAsia="zh-CN"/>
        </w:rPr>
        <w:t>XX</w:t>
      </w:r>
      <w:r>
        <w:rPr>
          <w:rFonts w:hint="eastAsia" w:ascii="宋体" w:hAnsi="宋体"/>
          <w:color w:val="auto"/>
          <w:sz w:val="24"/>
        </w:rPr>
        <w:t>月</w:t>
      </w:r>
      <w:r>
        <w:rPr>
          <w:rFonts w:hint="eastAsia" w:ascii="宋体" w:hAnsi="宋体"/>
          <w:color w:val="auto"/>
          <w:sz w:val="24"/>
          <w:lang w:val="en-US" w:eastAsia="zh-CN"/>
        </w:rPr>
        <w:t>XX</w:t>
      </w:r>
      <w:r>
        <w:rPr>
          <w:rFonts w:hint="eastAsia" w:ascii="宋体" w:hAnsi="宋体"/>
          <w:color w:val="auto"/>
          <w:sz w:val="24"/>
        </w:rPr>
        <w:t>日</w:t>
      </w:r>
    </w:p>
    <w:p>
      <w:pPr>
        <w:rPr>
          <w:rFonts w:hint="default" w:eastAsia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QzNWNjZmMwOGZkY2FmNjMzMDM1ZTk0ODJlZGM0NzIifQ=="/>
  </w:docVars>
  <w:rsids>
    <w:rsidRoot w:val="002F093A"/>
    <w:rsid w:val="00092DE5"/>
    <w:rsid w:val="00170707"/>
    <w:rsid w:val="002F093A"/>
    <w:rsid w:val="0032329C"/>
    <w:rsid w:val="003B7987"/>
    <w:rsid w:val="00417019"/>
    <w:rsid w:val="00427E28"/>
    <w:rsid w:val="00440BBA"/>
    <w:rsid w:val="00462CD8"/>
    <w:rsid w:val="005A3E84"/>
    <w:rsid w:val="006626E4"/>
    <w:rsid w:val="006754F5"/>
    <w:rsid w:val="007635CD"/>
    <w:rsid w:val="00773C35"/>
    <w:rsid w:val="00774940"/>
    <w:rsid w:val="007D5DBD"/>
    <w:rsid w:val="00886DFC"/>
    <w:rsid w:val="008B0FAA"/>
    <w:rsid w:val="008C271F"/>
    <w:rsid w:val="009347F3"/>
    <w:rsid w:val="009359A1"/>
    <w:rsid w:val="0098128A"/>
    <w:rsid w:val="00A54BFC"/>
    <w:rsid w:val="00AD4C91"/>
    <w:rsid w:val="00B34B09"/>
    <w:rsid w:val="00B51671"/>
    <w:rsid w:val="00B52E93"/>
    <w:rsid w:val="00C2394E"/>
    <w:rsid w:val="00C73A03"/>
    <w:rsid w:val="00D137AA"/>
    <w:rsid w:val="00EF77DC"/>
    <w:rsid w:val="00F420C5"/>
    <w:rsid w:val="00F83677"/>
    <w:rsid w:val="196E7569"/>
    <w:rsid w:val="1FCC5BBE"/>
    <w:rsid w:val="1FD659BB"/>
    <w:rsid w:val="5FF90CDF"/>
    <w:rsid w:val="63D32188"/>
    <w:rsid w:val="70634348"/>
    <w:rsid w:val="787D164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autoRedefine/>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autoRedefine/>
    <w:qFormat/>
    <w:uiPriority w:val="0"/>
  </w:style>
  <w:style w:type="character" w:customStyle="1" w:styleId="7">
    <w:name w:val="页眉 Char"/>
    <w:basedOn w:val="5"/>
    <w:link w:val="3"/>
    <w:autoRedefine/>
    <w:qFormat/>
    <w:uiPriority w:val="99"/>
    <w:rPr>
      <w:sz w:val="18"/>
      <w:szCs w:val="18"/>
    </w:rPr>
  </w:style>
  <w:style w:type="character" w:customStyle="1" w:styleId="8">
    <w:name w:val="页脚 Char"/>
    <w:basedOn w:val="5"/>
    <w:link w:val="2"/>
    <w:autoRedefine/>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275</Words>
  <Characters>1568</Characters>
  <Lines>13</Lines>
  <Paragraphs>3</Paragraphs>
  <TotalTime>20</TotalTime>
  <ScaleCrop>false</ScaleCrop>
  <LinksUpToDate>false</LinksUpToDate>
  <CharactersWithSpaces>1840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2024-03-19T07:03:00Z</dcterms:created>
  <dc:creator>微软用户</dc:creator>
  <cp:lastModifiedBy>汇兴</cp:lastModifiedBy>
  <cp:lastPrinted>2024-03-24T03:11:00Z</cp:lastPrinted>
  <dcterms:modified xsi:type="dcterms:W3CDTF">2024-03-28T09:26:31Z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7170F548A0FE4986839DD870877A6AC8_12</vt:lpwstr>
  </property>
</Properties>
</file>