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b/>
          <w:kern w:val="0"/>
          <w:sz w:val="44"/>
          <w:szCs w:val="44"/>
        </w:rPr>
      </w:pPr>
      <w:r>
        <w:rPr>
          <w:rFonts w:hint="eastAsia" w:ascii="宋体" w:hAnsi="宋体"/>
          <w:b/>
          <w:kern w:val="0"/>
          <w:sz w:val="44"/>
          <w:szCs w:val="44"/>
        </w:rPr>
        <w:t>梅州市嘉应粮食交易中心</w:t>
      </w:r>
    </w:p>
    <w:p>
      <w:pPr>
        <w:autoSpaceDE w:val="0"/>
        <w:autoSpaceDN w:val="0"/>
        <w:adjustRightInd w:val="0"/>
        <w:jc w:val="center"/>
        <w:rPr>
          <w:rFonts w:ascii="宋体"/>
          <w:b/>
          <w:kern w:val="0"/>
          <w:sz w:val="44"/>
          <w:szCs w:val="44"/>
        </w:rPr>
      </w:pPr>
      <w:r>
        <w:rPr>
          <w:rFonts w:ascii="宋体" w:hAnsi="宋体"/>
          <w:b/>
          <w:kern w:val="0"/>
          <w:sz w:val="44"/>
          <w:szCs w:val="44"/>
        </w:rPr>
        <w:t xml:space="preserve"> </w:t>
      </w:r>
      <w:r>
        <w:rPr>
          <w:rFonts w:hint="eastAsia" w:ascii="宋体" w:hAnsi="宋体"/>
          <w:b/>
          <w:kern w:val="0"/>
          <w:sz w:val="44"/>
          <w:szCs w:val="44"/>
        </w:rPr>
        <w:t>粮食竞价采购交易合同</w:t>
      </w:r>
    </w:p>
    <w:p>
      <w:pPr>
        <w:autoSpaceDE w:val="0"/>
        <w:autoSpaceDN w:val="0"/>
        <w:adjustRightInd w:val="0"/>
        <w:rPr>
          <w:rFonts w:ascii="宋体"/>
          <w:kern w:val="0"/>
          <w:sz w:val="28"/>
        </w:rPr>
      </w:pPr>
      <w:r>
        <w:rPr>
          <w:rFonts w:hint="eastAsia" w:ascii="宋体" w:hAnsi="宋体"/>
          <w:kern w:val="0"/>
          <w:sz w:val="28"/>
        </w:rPr>
        <w:t>合同编号：</w:t>
      </w:r>
    </w:p>
    <w:p>
      <w:pPr>
        <w:autoSpaceDE w:val="0"/>
        <w:autoSpaceDN w:val="0"/>
        <w:adjustRightInd w:val="0"/>
        <w:rPr>
          <w:rFonts w:ascii="宋体"/>
          <w:kern w:val="0"/>
          <w:sz w:val="28"/>
        </w:rPr>
      </w:pPr>
      <w:r>
        <w:rPr>
          <w:rFonts w:hint="eastAsia" w:ascii="宋体" w:hAnsi="宋体"/>
          <w:kern w:val="0"/>
          <w:sz w:val="28"/>
        </w:rPr>
        <w:t>买方全称：梅州市梅县区穗丰粮食收储有限公司</w:t>
      </w:r>
    </w:p>
    <w:p>
      <w:pPr>
        <w:autoSpaceDE w:val="0"/>
        <w:autoSpaceDN w:val="0"/>
        <w:adjustRightInd w:val="0"/>
        <w:rPr>
          <w:rFonts w:ascii="宋体"/>
          <w:kern w:val="0"/>
          <w:sz w:val="28"/>
        </w:rPr>
      </w:pPr>
      <w:r>
        <w:rPr>
          <w:rFonts w:hint="eastAsia" w:ascii="宋体" w:hAnsi="宋体"/>
          <w:kern w:val="0"/>
          <w:sz w:val="28"/>
        </w:rPr>
        <w:t>卖方全称：</w:t>
      </w:r>
    </w:p>
    <w:p>
      <w:pPr>
        <w:autoSpaceDE w:val="0"/>
        <w:autoSpaceDN w:val="0"/>
        <w:adjustRightInd w:val="0"/>
        <w:rPr>
          <w:rFonts w:ascii="宋体"/>
          <w:kern w:val="0"/>
          <w:sz w:val="24"/>
        </w:rPr>
      </w:pPr>
      <w:r>
        <w:rPr>
          <w:rFonts w:ascii="宋体" w:hAnsi="宋体"/>
          <w:kern w:val="0"/>
          <w:sz w:val="24"/>
        </w:rPr>
        <w:t xml:space="preserve"> </w:t>
      </w:r>
      <w:r>
        <w:rPr>
          <w:rFonts w:hint="eastAsia" w:ascii="宋体" w:hAnsi="宋体"/>
          <w:kern w:val="0"/>
          <w:sz w:val="24"/>
        </w:rPr>
        <w:t>一</w:t>
      </w:r>
      <w:r>
        <w:rPr>
          <w:rFonts w:hint="eastAsia" w:ascii="宋体" w:hAnsi="宋体"/>
          <w:b/>
          <w:bCs/>
          <w:kern w:val="0"/>
          <w:sz w:val="24"/>
        </w:rPr>
        <w:t>、成交标的</w:t>
      </w:r>
      <w:r>
        <w:rPr>
          <w:rFonts w:hint="eastAsia" w:ascii="宋体" w:hAnsi="宋体"/>
          <w:kern w:val="0"/>
          <w:sz w:val="24"/>
        </w:rPr>
        <w:t>（见下表）</w:t>
      </w:r>
      <w:r>
        <w:rPr>
          <w:rFonts w:ascii="宋体" w:hAnsi="宋体"/>
          <w:kern w:val="0"/>
          <w:sz w:val="24"/>
        </w:rPr>
        <w:t xml:space="preserve">                                  </w:t>
      </w:r>
      <w:r>
        <w:rPr>
          <w:rFonts w:hint="eastAsia" w:ascii="宋体" w:hAnsi="宋体"/>
          <w:kern w:val="0"/>
          <w:sz w:val="24"/>
        </w:rPr>
        <w:t>单位：元、吨</w:t>
      </w:r>
      <w:r>
        <w:rPr>
          <w:rFonts w:ascii="宋体" w:hAnsi="宋体"/>
          <w:kern w:val="0"/>
          <w:sz w:val="24"/>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819"/>
        <w:gridCol w:w="1260"/>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819" w:type="dxa"/>
            <w:vAlign w:val="center"/>
          </w:tcPr>
          <w:p>
            <w:pPr>
              <w:pStyle w:val="3"/>
              <w:spacing w:line="240" w:lineRule="auto"/>
              <w:ind w:firstLine="0" w:firstLineChars="0"/>
              <w:rPr>
                <w:rFonts w:ascii="宋体" w:hAnsi="宋体" w:eastAsia="宋体"/>
                <w:kern w:val="2"/>
                <w:sz w:val="24"/>
              </w:rPr>
            </w:pPr>
          </w:p>
        </w:tc>
        <w:tc>
          <w:tcPr>
            <w:tcW w:w="1260" w:type="dxa"/>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224" w:type="dxa"/>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819" w:type="dxa"/>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60" w:type="dxa"/>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224" w:type="dxa"/>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819" w:type="dxa"/>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60" w:type="dxa"/>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224" w:type="dxa"/>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vAlign w:val="center"/>
          </w:tcPr>
          <w:p>
            <w:pPr>
              <w:pStyle w:val="3"/>
              <w:spacing w:line="240" w:lineRule="auto"/>
              <w:ind w:firstLine="0" w:firstLineChars="0"/>
              <w:rPr>
                <w:rFonts w:ascii="宋体" w:hAnsi="宋体" w:eastAsia="宋体"/>
                <w:b/>
                <w:bCs/>
                <w:color w:val="000000" w:themeColor="text1"/>
                <w:kern w:val="2"/>
                <w:sz w:val="24"/>
              </w:rPr>
            </w:pPr>
            <w:r>
              <w:rPr>
                <w:rFonts w:hint="eastAsia" w:ascii="宋体" w:hAnsi="宋体" w:eastAsia="宋体"/>
                <w:b/>
                <w:bCs/>
                <w:color w:val="000000" w:themeColor="text1"/>
                <w:kern w:val="2"/>
                <w:sz w:val="24"/>
              </w:rPr>
              <w:t>产地</w:t>
            </w:r>
          </w:p>
        </w:tc>
        <w:tc>
          <w:tcPr>
            <w:tcW w:w="2819" w:type="dxa"/>
            <w:vAlign w:val="center"/>
          </w:tcPr>
          <w:p>
            <w:pPr>
              <w:pStyle w:val="3"/>
              <w:spacing w:line="240" w:lineRule="auto"/>
              <w:ind w:firstLine="0" w:firstLineChars="0"/>
              <w:rPr>
                <w:rFonts w:ascii="宋体" w:hAnsi="宋体" w:eastAsia="宋体"/>
                <w:color w:val="000000" w:themeColor="text1"/>
                <w:kern w:val="2"/>
                <w:sz w:val="24"/>
              </w:rPr>
            </w:pPr>
          </w:p>
        </w:tc>
        <w:tc>
          <w:tcPr>
            <w:tcW w:w="1260" w:type="dxa"/>
            <w:vAlign w:val="center"/>
          </w:tcPr>
          <w:p>
            <w:pPr>
              <w:pStyle w:val="3"/>
              <w:spacing w:line="240" w:lineRule="auto"/>
              <w:ind w:firstLine="0" w:firstLineChars="0"/>
              <w:rPr>
                <w:rFonts w:ascii="宋体" w:hAnsi="宋体" w:eastAsia="宋体"/>
                <w:b/>
                <w:bCs/>
                <w:color w:val="000000" w:themeColor="text1"/>
                <w:kern w:val="2"/>
                <w:sz w:val="24"/>
              </w:rPr>
            </w:pPr>
            <w:r>
              <w:rPr>
                <w:rFonts w:hint="eastAsia" w:ascii="宋体" w:hAnsi="宋体" w:eastAsia="宋体"/>
                <w:b/>
                <w:bCs/>
                <w:color w:val="000000" w:themeColor="text1"/>
                <w:kern w:val="2"/>
                <w:sz w:val="24"/>
              </w:rPr>
              <w:t>总金额</w:t>
            </w:r>
          </w:p>
        </w:tc>
        <w:tc>
          <w:tcPr>
            <w:tcW w:w="3224" w:type="dxa"/>
            <w:vAlign w:val="center"/>
          </w:tcPr>
          <w:p>
            <w:pPr>
              <w:pStyle w:val="3"/>
              <w:spacing w:line="240" w:lineRule="auto"/>
              <w:ind w:firstLine="0" w:firstLineChars="0"/>
              <w:rPr>
                <w:rFonts w:ascii="宋体" w:hAnsi="宋体" w:eastAsia="宋体"/>
                <w:color w:val="000000" w:themeColor="text1"/>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vAlign w:val="center"/>
          </w:tcPr>
          <w:p>
            <w:pPr>
              <w:pStyle w:val="3"/>
              <w:spacing w:line="240" w:lineRule="auto"/>
              <w:ind w:firstLine="0" w:firstLineChars="0"/>
              <w:rPr>
                <w:rFonts w:ascii="宋体" w:hAnsi="宋体" w:eastAsia="宋体"/>
                <w:b/>
                <w:bCs/>
                <w:color w:val="000000" w:themeColor="text1"/>
                <w:kern w:val="2"/>
                <w:sz w:val="24"/>
              </w:rPr>
            </w:pPr>
            <w:r>
              <w:rPr>
                <w:rFonts w:hint="eastAsia" w:ascii="宋体" w:hAnsi="宋体" w:eastAsia="宋体"/>
                <w:b/>
                <w:bCs/>
                <w:color w:val="000000" w:themeColor="text1"/>
                <w:kern w:val="2"/>
                <w:sz w:val="24"/>
              </w:rPr>
              <w:t>交货方式</w:t>
            </w:r>
          </w:p>
        </w:tc>
        <w:tc>
          <w:tcPr>
            <w:tcW w:w="7303" w:type="dxa"/>
            <w:gridSpan w:val="3"/>
            <w:vAlign w:val="center"/>
          </w:tcPr>
          <w:p>
            <w:pPr>
              <w:pStyle w:val="3"/>
              <w:spacing w:line="240" w:lineRule="auto"/>
              <w:ind w:firstLine="0" w:firstLineChars="0"/>
              <w:rPr>
                <w:rFonts w:ascii="宋体" w:hAnsi="宋体" w:eastAsia="宋体"/>
                <w:color w:val="000000" w:themeColor="text1"/>
                <w:kern w:val="2"/>
                <w:sz w:val="21"/>
                <w:szCs w:val="21"/>
              </w:rPr>
            </w:pPr>
            <w:r>
              <w:rPr>
                <w:rFonts w:hint="eastAsia" w:ascii="宋体" w:hAnsi="宋体" w:eastAsia="宋体" w:cs="宋体"/>
                <w:color w:val="000000" w:themeColor="text1"/>
                <w:sz w:val="24"/>
              </w:rPr>
              <w:t>堆叠验收后交货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vAlign w:val="center"/>
          </w:tcPr>
          <w:p>
            <w:pPr>
              <w:pStyle w:val="3"/>
              <w:spacing w:line="240" w:lineRule="auto"/>
              <w:ind w:firstLine="0" w:firstLineChars="0"/>
              <w:rPr>
                <w:rFonts w:ascii="宋体" w:hAnsi="宋体" w:eastAsia="宋体"/>
                <w:b/>
                <w:bCs/>
                <w:color w:val="000000" w:themeColor="text1"/>
                <w:kern w:val="2"/>
                <w:sz w:val="24"/>
              </w:rPr>
            </w:pPr>
            <w:r>
              <w:rPr>
                <w:rFonts w:hint="eastAsia" w:ascii="宋体" w:hAnsi="宋体" w:eastAsia="宋体"/>
                <w:b/>
                <w:bCs/>
                <w:color w:val="000000" w:themeColor="text1"/>
                <w:kern w:val="2"/>
                <w:sz w:val="24"/>
              </w:rPr>
              <w:t>交货期限</w:t>
            </w:r>
          </w:p>
        </w:tc>
        <w:tc>
          <w:tcPr>
            <w:tcW w:w="7303" w:type="dxa"/>
            <w:gridSpan w:val="3"/>
            <w:vAlign w:val="center"/>
          </w:tcPr>
          <w:p>
            <w:pPr>
              <w:pStyle w:val="3"/>
              <w:spacing w:line="240" w:lineRule="auto"/>
              <w:ind w:firstLine="0" w:firstLineChars="0"/>
              <w:rPr>
                <w:rFonts w:ascii="宋体" w:hAnsi="宋体" w:eastAsia="宋体"/>
                <w:color w:val="000000" w:themeColor="text1"/>
                <w:kern w:val="2"/>
                <w:sz w:val="21"/>
                <w:szCs w:val="21"/>
              </w:rPr>
            </w:pPr>
            <w:r>
              <w:rPr>
                <w:rFonts w:hint="eastAsia" w:ascii="宋体" w:hAnsi="宋体" w:eastAsia="宋体" w:cs="宋体"/>
                <w:color w:val="000000" w:themeColor="text1"/>
                <w:sz w:val="24"/>
              </w:rPr>
              <w:t>年月日</w:t>
            </w:r>
            <w:r>
              <w:rPr>
                <w:rFonts w:ascii="宋体" w:hAnsi="宋体" w:eastAsia="宋体" w:cs="宋体"/>
                <w:color w:val="000000" w:themeColor="text1"/>
                <w:sz w:val="24"/>
              </w:rPr>
              <w:t>——</w:t>
            </w:r>
            <w:r>
              <w:rPr>
                <w:rFonts w:hint="eastAsia" w:ascii="宋体" w:hAnsi="宋体" w:eastAsia="宋体" w:cs="宋体"/>
                <w:color w:val="000000" w:themeColor="text1"/>
                <w:sz w:val="24"/>
              </w:rPr>
              <w:t>年月日，标的数量全额送抵指定仓库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vAlign w:val="center"/>
          </w:tcPr>
          <w:p>
            <w:pPr>
              <w:pStyle w:val="3"/>
              <w:spacing w:line="240" w:lineRule="auto"/>
              <w:ind w:firstLine="0" w:firstLineChars="0"/>
              <w:rPr>
                <w:rFonts w:ascii="宋体" w:hAnsi="宋体" w:eastAsia="宋体"/>
                <w:b/>
                <w:bCs/>
                <w:color w:val="000000" w:themeColor="text1"/>
                <w:kern w:val="2"/>
                <w:sz w:val="24"/>
              </w:rPr>
            </w:pPr>
            <w:r>
              <w:rPr>
                <w:rFonts w:hint="eastAsia" w:ascii="宋体" w:hAnsi="宋体" w:eastAsia="宋体"/>
                <w:b/>
                <w:bCs/>
                <w:color w:val="000000" w:themeColor="text1"/>
                <w:kern w:val="2"/>
                <w:sz w:val="24"/>
              </w:rPr>
              <w:t>存放地点</w:t>
            </w:r>
          </w:p>
        </w:tc>
        <w:tc>
          <w:tcPr>
            <w:tcW w:w="7303" w:type="dxa"/>
            <w:gridSpan w:val="3"/>
            <w:vAlign w:val="center"/>
          </w:tcPr>
          <w:p>
            <w:pPr>
              <w:pStyle w:val="3"/>
              <w:spacing w:line="240" w:lineRule="auto"/>
              <w:ind w:firstLine="0" w:firstLineChars="0"/>
              <w:rPr>
                <w:rFonts w:ascii="宋体" w:hAnsi="宋体" w:eastAsia="宋体"/>
                <w:color w:val="000000" w:themeColor="text1"/>
                <w:kern w:val="2"/>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vAlign w:val="center"/>
          </w:tcPr>
          <w:p>
            <w:pPr>
              <w:pStyle w:val="3"/>
              <w:spacing w:line="240" w:lineRule="auto"/>
              <w:ind w:firstLine="0" w:firstLineChars="0"/>
              <w:rPr>
                <w:rFonts w:ascii="宋体" w:hAnsi="宋体" w:eastAsia="宋体"/>
                <w:b/>
                <w:bCs/>
                <w:color w:val="000000" w:themeColor="text1"/>
                <w:kern w:val="2"/>
                <w:sz w:val="24"/>
              </w:rPr>
            </w:pPr>
            <w:r>
              <w:rPr>
                <w:rFonts w:hint="eastAsia" w:ascii="宋体" w:hAnsi="宋体" w:eastAsia="宋体"/>
                <w:b/>
                <w:bCs/>
                <w:color w:val="000000" w:themeColor="text1"/>
                <w:kern w:val="2"/>
                <w:sz w:val="24"/>
              </w:rPr>
              <w:t>包装要求</w:t>
            </w:r>
          </w:p>
        </w:tc>
        <w:tc>
          <w:tcPr>
            <w:tcW w:w="7303" w:type="dxa"/>
            <w:gridSpan w:val="3"/>
            <w:vAlign w:val="center"/>
          </w:tcPr>
          <w:p>
            <w:pPr>
              <w:pStyle w:val="3"/>
              <w:spacing w:line="240" w:lineRule="auto"/>
              <w:ind w:firstLine="0" w:firstLineChars="0"/>
              <w:rPr>
                <w:rFonts w:ascii="宋体" w:hAnsi="宋体" w:eastAsia="宋体"/>
                <w:color w:val="000000" w:themeColor="text1"/>
                <w:sz w:val="24"/>
              </w:rPr>
            </w:pPr>
            <w:r>
              <w:rPr>
                <w:rFonts w:hint="eastAsia" w:ascii="宋体" w:hAnsi="宋体" w:eastAsia="宋体" w:cs="宋体"/>
                <w:color w:val="000000" w:themeColor="text1"/>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vAlign w:val="center"/>
          </w:tcPr>
          <w:p>
            <w:pPr>
              <w:pStyle w:val="3"/>
              <w:spacing w:line="240" w:lineRule="auto"/>
              <w:ind w:firstLine="0" w:firstLineChars="0"/>
              <w:rPr>
                <w:rFonts w:ascii="宋体" w:hAnsi="宋体" w:eastAsia="宋体"/>
                <w:b/>
                <w:bCs/>
                <w:color w:val="000000" w:themeColor="text1"/>
                <w:kern w:val="2"/>
                <w:sz w:val="24"/>
              </w:rPr>
            </w:pPr>
            <w:r>
              <w:rPr>
                <w:rFonts w:hint="eastAsia" w:ascii="宋体" w:hAnsi="宋体" w:eastAsia="宋体"/>
                <w:b/>
                <w:bCs/>
                <w:color w:val="000000" w:themeColor="text1"/>
                <w:kern w:val="2"/>
                <w:sz w:val="24"/>
              </w:rPr>
              <w:t>质量标准</w:t>
            </w:r>
          </w:p>
        </w:tc>
        <w:tc>
          <w:tcPr>
            <w:tcW w:w="7303" w:type="dxa"/>
            <w:gridSpan w:val="3"/>
            <w:vAlign w:val="center"/>
          </w:tcPr>
          <w:p>
            <w:pPr>
              <w:pStyle w:val="3"/>
              <w:spacing w:line="240" w:lineRule="auto"/>
              <w:ind w:firstLine="0" w:firstLineChars="0"/>
              <w:rPr>
                <w:rFonts w:ascii="宋体" w:hAnsi="宋体" w:eastAsia="宋体"/>
                <w:color w:val="000000" w:themeColor="text1"/>
                <w:kern w:val="2"/>
                <w:sz w:val="21"/>
                <w:szCs w:val="21"/>
              </w:rPr>
            </w:pPr>
            <w:r>
              <w:rPr>
                <w:rFonts w:hint="eastAsia" w:ascii="宋体" w:hAnsi="宋体" w:eastAsia="宋体" w:cs="宋体"/>
                <w:color w:val="000000" w:themeColor="text1"/>
                <w:sz w:val="24"/>
              </w:rPr>
              <w:t>执行</w:t>
            </w:r>
            <w:r>
              <w:rPr>
                <w:rFonts w:ascii="宋体" w:hAnsi="宋体" w:eastAsia="宋体" w:cs="宋体"/>
                <w:color w:val="000000" w:themeColor="text1"/>
                <w:sz w:val="24"/>
              </w:rPr>
              <w:t>GB1350-2009</w:t>
            </w:r>
            <w:r>
              <w:rPr>
                <w:rFonts w:hint="eastAsia" w:ascii="宋体" w:hAnsi="宋体" w:eastAsia="宋体" w:cs="宋体"/>
                <w:color w:val="000000" w:themeColor="text1"/>
                <w:sz w:val="24"/>
              </w:rPr>
              <w:t>早籼三级稻谷（含三级）以上标准，质量检测主要指标达到：出糙率≥</w:t>
            </w:r>
            <w:r>
              <w:rPr>
                <w:rFonts w:ascii="宋体" w:hAnsi="宋体" w:eastAsia="宋体" w:cs="宋体"/>
                <w:color w:val="000000" w:themeColor="text1"/>
                <w:sz w:val="24"/>
              </w:rPr>
              <w:t>75.0%</w:t>
            </w:r>
            <w:r>
              <w:rPr>
                <w:rFonts w:hint="eastAsia" w:ascii="宋体" w:hAnsi="宋体" w:eastAsia="宋体" w:cs="宋体"/>
                <w:color w:val="000000" w:themeColor="text1"/>
                <w:sz w:val="24"/>
              </w:rPr>
              <w:t>，整精米率≥</w:t>
            </w:r>
            <w:r>
              <w:rPr>
                <w:rFonts w:ascii="宋体" w:hAnsi="宋体" w:eastAsia="宋体" w:cs="宋体"/>
                <w:color w:val="000000" w:themeColor="text1"/>
                <w:sz w:val="24"/>
              </w:rPr>
              <w:t>44.0%</w:t>
            </w:r>
            <w:r>
              <w:rPr>
                <w:rFonts w:hint="eastAsia" w:ascii="宋体" w:hAnsi="宋体" w:eastAsia="宋体" w:cs="宋体"/>
                <w:color w:val="000000" w:themeColor="text1"/>
                <w:sz w:val="24"/>
              </w:rPr>
              <w:t>，杂质≤</w:t>
            </w:r>
            <w:r>
              <w:rPr>
                <w:rFonts w:ascii="宋体" w:hAnsi="宋体" w:eastAsia="宋体" w:cs="宋体"/>
                <w:color w:val="000000" w:themeColor="text1"/>
                <w:sz w:val="24"/>
              </w:rPr>
              <w:t>1.0%</w:t>
            </w:r>
            <w:r>
              <w:rPr>
                <w:rFonts w:hint="eastAsia" w:ascii="宋体" w:hAnsi="宋体" w:eastAsia="宋体" w:cs="宋体"/>
                <w:color w:val="000000" w:themeColor="text1"/>
                <w:sz w:val="24"/>
              </w:rPr>
              <w:t>，水分≤</w:t>
            </w:r>
            <w:r>
              <w:rPr>
                <w:rFonts w:ascii="宋体" w:hAnsi="宋体" w:eastAsia="宋体" w:cs="宋体"/>
                <w:color w:val="000000" w:themeColor="text1"/>
                <w:sz w:val="24"/>
              </w:rPr>
              <w:t>13.5%</w:t>
            </w:r>
            <w:r>
              <w:rPr>
                <w:rFonts w:hint="eastAsia" w:ascii="宋体" w:hAnsi="宋体" w:eastAsia="宋体" w:cs="宋体"/>
                <w:color w:val="000000" w:themeColor="text1"/>
                <w:sz w:val="24"/>
              </w:rPr>
              <w:t>，黄粒米≤</w:t>
            </w:r>
            <w:r>
              <w:rPr>
                <w:rFonts w:ascii="宋体" w:hAnsi="宋体" w:eastAsia="宋体" w:cs="宋体"/>
                <w:color w:val="000000" w:themeColor="text1"/>
                <w:sz w:val="24"/>
              </w:rPr>
              <w:t>1.0%</w:t>
            </w:r>
            <w:r>
              <w:rPr>
                <w:rFonts w:hint="eastAsia" w:ascii="宋体" w:hAnsi="宋体" w:eastAsia="宋体" w:cs="宋体"/>
                <w:color w:val="000000" w:themeColor="text1"/>
                <w:sz w:val="24"/>
              </w:rPr>
              <w:t>，谷外糙米</w:t>
            </w:r>
            <w:r>
              <w:rPr>
                <w:rFonts w:ascii="宋体" w:hAnsi="宋体" w:eastAsia="宋体" w:cs="宋体"/>
                <w:color w:val="000000" w:themeColor="text1"/>
                <w:sz w:val="24"/>
              </w:rPr>
              <w:t xml:space="preserve"> </w:t>
            </w:r>
            <w:r>
              <w:rPr>
                <w:rFonts w:hint="eastAsia" w:ascii="宋体" w:hAnsi="宋体" w:eastAsia="宋体" w:cs="宋体"/>
                <w:color w:val="000000" w:themeColor="text1"/>
                <w:sz w:val="24"/>
              </w:rPr>
              <w:t>≤</w:t>
            </w:r>
            <w:r>
              <w:rPr>
                <w:rFonts w:ascii="宋体" w:hAnsi="宋体" w:eastAsia="宋体" w:cs="宋体"/>
                <w:color w:val="000000" w:themeColor="text1"/>
                <w:sz w:val="24"/>
              </w:rPr>
              <w:t>2.0 %</w:t>
            </w:r>
            <w:r>
              <w:rPr>
                <w:rFonts w:hint="eastAsia" w:ascii="宋体" w:hAnsi="宋体" w:eastAsia="宋体" w:cs="宋体"/>
                <w:color w:val="000000" w:themeColor="text1"/>
                <w:sz w:val="24"/>
              </w:rPr>
              <w:t>，互混率≤</w:t>
            </w:r>
            <w:r>
              <w:rPr>
                <w:rFonts w:ascii="宋体" w:hAnsi="宋体" w:eastAsia="宋体" w:cs="宋体"/>
                <w:color w:val="000000" w:themeColor="text1"/>
                <w:sz w:val="24"/>
              </w:rPr>
              <w:t>5.0%</w:t>
            </w:r>
            <w:r>
              <w:rPr>
                <w:rFonts w:hint="eastAsia" w:ascii="宋体" w:hAnsi="宋体" w:eastAsia="宋体" w:cs="宋体"/>
                <w:color w:val="000000" w:themeColor="text1"/>
                <w:sz w:val="24"/>
              </w:rPr>
              <w:t>，镉≤</w:t>
            </w:r>
            <w:r>
              <w:rPr>
                <w:rFonts w:ascii="宋体" w:hAnsi="宋体" w:eastAsia="宋体" w:cs="宋体"/>
                <w:color w:val="000000" w:themeColor="text1"/>
                <w:sz w:val="24"/>
              </w:rPr>
              <w:t>0.2mg/kg</w:t>
            </w:r>
            <w:r>
              <w:rPr>
                <w:rFonts w:hint="eastAsia" w:ascii="宋体" w:hAnsi="宋体" w:eastAsia="宋体" w:cs="宋体"/>
                <w:color w:val="000000" w:themeColor="text1"/>
                <w:sz w:val="24"/>
              </w:rPr>
              <w:t>，脂肪酸值≤</w:t>
            </w:r>
            <w:r>
              <w:rPr>
                <w:rFonts w:ascii="宋体" w:hAnsi="宋体" w:eastAsia="宋体" w:cs="宋体"/>
                <w:color w:val="000000" w:themeColor="text1"/>
                <w:sz w:val="24"/>
              </w:rPr>
              <w:t>20.0mgKOH/100g</w:t>
            </w:r>
            <w:r>
              <w:rPr>
                <w:rFonts w:hint="eastAsia" w:ascii="宋体" w:hAnsi="宋体" w:eastAsia="宋体" w:cs="宋体"/>
                <w:color w:val="000000" w:themeColor="text1"/>
                <w:sz w:val="24"/>
              </w:rPr>
              <w:t>。色泽气味正常，无虫害，符合国家粮食卫生标准。</w:t>
            </w:r>
            <w:r>
              <w:rPr>
                <w:rFonts w:hint="eastAsia" w:ascii="宋体" w:hAnsi="宋体" w:eastAsia="宋体"/>
                <w:color w:val="000000" w:themeColor="text1"/>
                <w:kern w:val="2"/>
                <w:sz w:val="24"/>
              </w:rPr>
              <w:t>拒收泥谷、水浸谷、生芽谷。</w:t>
            </w:r>
          </w:p>
        </w:tc>
      </w:tr>
    </w:tbl>
    <w:p>
      <w:pPr>
        <w:autoSpaceDE w:val="0"/>
        <w:autoSpaceDN w:val="0"/>
        <w:adjustRightInd w:val="0"/>
        <w:spacing w:line="320" w:lineRule="exact"/>
        <w:ind w:firstLine="472" w:firstLineChars="196"/>
        <w:rPr>
          <w:rFonts w:ascii="宋体"/>
          <w:kern w:val="0"/>
          <w:sz w:val="24"/>
        </w:rPr>
      </w:pPr>
      <w:r>
        <w:rPr>
          <w:rFonts w:hint="eastAsia" w:ascii="宋体" w:hAnsi="宋体"/>
          <w:b/>
          <w:bCs/>
          <w:color w:val="000000" w:themeColor="text1"/>
          <w:sz w:val="24"/>
        </w:rPr>
        <w:t>二、验收交货方式：</w:t>
      </w:r>
      <w:r>
        <w:rPr>
          <w:rFonts w:hint="eastAsia" w:ascii="宋体" w:hAnsi="宋体"/>
          <w:color w:val="000000" w:themeColor="text1"/>
          <w:sz w:val="24"/>
        </w:rPr>
        <w:t>买方按国标规定的粮食检验办法和操作规程进行验质，以</w:t>
      </w:r>
      <w:r>
        <w:rPr>
          <w:rFonts w:hint="eastAsia" w:ascii="宋体" w:hAnsi="宋体"/>
          <w:sz w:val="24"/>
        </w:rPr>
        <w:t>技术监督部门检验合格的计量工具进行验</w:t>
      </w:r>
      <w:r>
        <w:rPr>
          <w:rFonts w:hint="eastAsia" w:ascii="宋体" w:hAnsi="宋体"/>
          <w:color w:val="000000" w:themeColor="text1"/>
          <w:sz w:val="24"/>
        </w:rPr>
        <w:t>斤。</w:t>
      </w:r>
      <w:r>
        <w:rPr>
          <w:rFonts w:hint="eastAsia" w:ascii="宋体" w:hAnsi="宋体"/>
          <w:color w:val="000000" w:themeColor="text1"/>
          <w:kern w:val="0"/>
          <w:sz w:val="24"/>
        </w:rPr>
        <w:t>由买方初步验质合格后并过磅</w:t>
      </w:r>
      <w:r>
        <w:rPr>
          <w:rFonts w:hint="eastAsia" w:ascii="宋体" w:hAnsi="宋体"/>
          <w:color w:val="000000" w:themeColor="text1"/>
          <w:kern w:val="0"/>
          <w:sz w:val="28"/>
          <w:szCs w:val="28"/>
        </w:rPr>
        <w:t>，</w:t>
      </w:r>
      <w:r>
        <w:rPr>
          <w:rFonts w:hint="eastAsia" w:ascii="宋体" w:hAnsi="宋体"/>
          <w:color w:val="000000" w:themeColor="text1"/>
          <w:kern w:val="0"/>
          <w:sz w:val="24"/>
        </w:rPr>
        <w:t>粮食运到指定仓库</w:t>
      </w:r>
      <w:r>
        <w:rPr>
          <w:rFonts w:hint="eastAsia" w:ascii="宋体" w:hAnsi="宋体"/>
          <w:bCs/>
          <w:color w:val="000000" w:themeColor="text1"/>
          <w:kern w:val="0"/>
          <w:sz w:val="24"/>
        </w:rPr>
        <w:t>除杂</w:t>
      </w:r>
      <w:r>
        <w:rPr>
          <w:rFonts w:hint="eastAsia" w:ascii="宋体" w:hAnsi="宋体"/>
          <w:color w:val="000000" w:themeColor="text1"/>
          <w:kern w:val="0"/>
          <w:sz w:val="24"/>
        </w:rPr>
        <w:t>进仓，杂质回皮</w:t>
      </w:r>
      <w:r>
        <w:rPr>
          <w:rFonts w:ascii="宋体"/>
          <w:color w:val="000000" w:themeColor="text1"/>
          <w:kern w:val="0"/>
          <w:sz w:val="24"/>
        </w:rPr>
        <w:t>,</w:t>
      </w:r>
      <w:r>
        <w:rPr>
          <w:rFonts w:hint="eastAsia" w:ascii="宋体" w:hAnsi="宋体"/>
          <w:color w:val="000000" w:themeColor="text1"/>
          <w:kern w:val="0"/>
          <w:sz w:val="24"/>
        </w:rPr>
        <w:t>买方出具入库凭证，入库粮食</w:t>
      </w:r>
      <w:r>
        <w:rPr>
          <w:rFonts w:hint="eastAsia" w:ascii="宋体" w:hAnsi="宋体"/>
          <w:color w:val="000000" w:themeColor="text1"/>
          <w:sz w:val="24"/>
        </w:rPr>
        <w:t>如果质量不符合本合同约定质量标准的或发现混有其他生产年份的稻谷，买方有权不予接收，货物由卖方自行处理，并承担所发生费用。仓库除杂进仓，杂质</w:t>
      </w:r>
      <w:r>
        <w:rPr>
          <w:rFonts w:ascii="宋体" w:hAnsi="宋体"/>
          <w:color w:val="000000" w:themeColor="text1"/>
          <w:sz w:val="24"/>
        </w:rPr>
        <w:t>1.5%</w:t>
      </w:r>
      <w:r>
        <w:rPr>
          <w:rFonts w:hint="eastAsia" w:ascii="宋体" w:hAnsi="宋体"/>
          <w:color w:val="000000" w:themeColor="text1"/>
          <w:sz w:val="24"/>
        </w:rPr>
        <w:t>及以上的，买方不</w:t>
      </w:r>
      <w:r>
        <w:rPr>
          <w:rFonts w:hint="eastAsia" w:ascii="宋体" w:hAnsi="宋体"/>
          <w:sz w:val="24"/>
        </w:rPr>
        <w:t>予接收。如粮食入库后镉含量指标检测不合格，买方一律退货，由卖方承担所发生的费用。严禁卖方将走私农产品流入国家粮食储备体系，一经发现将对违法违规企业由有关部门作出严肃处理。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pPr>
        <w:autoSpaceDE w:val="0"/>
        <w:autoSpaceDN w:val="0"/>
        <w:adjustRightInd w:val="0"/>
        <w:spacing w:line="276" w:lineRule="auto"/>
        <w:ind w:firstLine="482" w:firstLineChars="200"/>
        <w:rPr>
          <w:rFonts w:ascii="宋体"/>
          <w:color w:val="auto"/>
          <w:kern w:val="0"/>
          <w:sz w:val="24"/>
          <w:highlight w:val="none"/>
        </w:rPr>
      </w:pPr>
      <w:r>
        <w:rPr>
          <w:rFonts w:hint="eastAsia" w:ascii="宋体" w:hAnsi="宋体"/>
          <w:b/>
          <w:bCs/>
          <w:sz w:val="24"/>
        </w:rPr>
        <w:t>三、费用承担：</w:t>
      </w:r>
      <w:r>
        <w:rPr>
          <w:rFonts w:hint="eastAsia" w:ascii="宋体" w:hAnsi="宋体" w:cs="宋体"/>
          <w:sz w:val="24"/>
        </w:rPr>
        <w:t>卖方承担交货前的一切费用，包括仓内平整粮面、搬运费等。买方不承担任何费用。</w:t>
      </w:r>
      <w:r>
        <w:rPr>
          <w:rFonts w:hint="eastAsia" w:ascii="宋体" w:hAnsi="宋体"/>
          <w:color w:val="auto"/>
          <w:kern w:val="0"/>
          <w:sz w:val="24"/>
          <w:highlight w:val="none"/>
        </w:rPr>
        <w:t>入仓时由卖方与有资质的第三方劳务装卸服务公司签订搬运安全责任协议书。</w:t>
      </w:r>
    </w:p>
    <w:p>
      <w:pPr>
        <w:autoSpaceDE w:val="0"/>
        <w:autoSpaceDN w:val="0"/>
        <w:adjustRightInd w:val="0"/>
        <w:spacing w:line="288" w:lineRule="auto"/>
        <w:ind w:firstLine="482" w:firstLineChars="200"/>
        <w:rPr>
          <w:rFonts w:ascii="宋体"/>
          <w:b/>
          <w:kern w:val="0"/>
          <w:sz w:val="24"/>
        </w:rPr>
      </w:pPr>
      <w:r>
        <w:rPr>
          <w:rFonts w:hint="eastAsia" w:ascii="宋体" w:hAnsi="宋体"/>
          <w:b/>
          <w:bCs/>
          <w:sz w:val="24"/>
        </w:rPr>
        <w:t>四、货款结算：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待第三方质量验收合格并提交有效发票后付清。</w:t>
      </w:r>
    </w:p>
    <w:p>
      <w:pPr>
        <w:pStyle w:val="4"/>
        <w:spacing w:line="320" w:lineRule="exact"/>
        <w:ind w:firstLine="31680"/>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31680"/>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31680"/>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kern w:val="0"/>
          <w:sz w:val="24"/>
        </w:rPr>
      </w:pPr>
      <w:r>
        <w:rPr>
          <w:rFonts w:hint="eastAsia" w:ascii="宋体" w:hAnsi="宋体"/>
          <w:b/>
          <w:bCs/>
          <w:kern w:val="0"/>
          <w:sz w:val="24"/>
        </w:rPr>
        <w:t>八、争议解决：</w:t>
      </w:r>
    </w:p>
    <w:p>
      <w:pPr>
        <w:autoSpaceDE w:val="0"/>
        <w:autoSpaceDN w:val="0"/>
        <w:adjustRightInd w:val="0"/>
        <w:spacing w:line="276" w:lineRule="auto"/>
        <w:ind w:firstLine="480" w:firstLineChars="200"/>
        <w:rPr>
          <w:rFonts w:ascii="宋体"/>
          <w:kern w:val="0"/>
          <w:sz w:val="24"/>
        </w:rPr>
      </w:pPr>
      <w:r>
        <w:rPr>
          <w:rFonts w:ascii="宋体" w:hAnsi="宋体"/>
          <w:kern w:val="0"/>
          <w:sz w:val="24"/>
        </w:rPr>
        <w:t>1</w:t>
      </w:r>
      <w:r>
        <w:rPr>
          <w:rFonts w:hint="eastAsia" w:ascii="宋体" w:hAnsi="宋体"/>
          <w:kern w:val="0"/>
          <w:sz w:val="24"/>
        </w:rPr>
        <w:t>、出现不明确责任情况，由交易中心协调解决；</w:t>
      </w:r>
    </w:p>
    <w:p>
      <w:pPr>
        <w:autoSpaceDE w:val="0"/>
        <w:autoSpaceDN w:val="0"/>
        <w:adjustRightInd w:val="0"/>
        <w:spacing w:line="276" w:lineRule="auto"/>
        <w:ind w:firstLine="480" w:firstLineChars="200"/>
        <w:rPr>
          <w:rFonts w:ascii="宋体"/>
          <w:kern w:val="0"/>
          <w:sz w:val="24"/>
        </w:rPr>
      </w:pPr>
      <w:r>
        <w:rPr>
          <w:rFonts w:ascii="宋体" w:hAnsi="宋体"/>
          <w:kern w:val="0"/>
          <w:sz w:val="24"/>
        </w:rPr>
        <w:t>2</w:t>
      </w:r>
      <w:r>
        <w:rPr>
          <w:rFonts w:hint="eastAsia" w:ascii="宋体" w:hAnsi="宋体"/>
          <w:kern w:val="0"/>
          <w:sz w:val="24"/>
        </w:rPr>
        <w:t>、卖方逾期交货（含因质量不合格被买方拒收造成的逾期交货），</w:t>
      </w:r>
      <w:r>
        <w:rPr>
          <w:rFonts w:hint="eastAsia" w:ascii="宋体" w:hAnsi="宋体" w:cs="宋体"/>
          <w:kern w:val="0"/>
          <w:sz w:val="24"/>
        </w:rPr>
        <w:t>逾期供货</w:t>
      </w:r>
      <w:r>
        <w:rPr>
          <w:rFonts w:ascii="宋体" w:hAnsi="宋体" w:cs="宋体"/>
          <w:kern w:val="0"/>
          <w:sz w:val="24"/>
        </w:rPr>
        <w:t>10</w:t>
      </w:r>
      <w:r>
        <w:rPr>
          <w:rFonts w:hint="eastAsia" w:ascii="宋体" w:hAnsi="宋体" w:cs="宋体"/>
          <w:kern w:val="0"/>
          <w:sz w:val="24"/>
        </w:rPr>
        <w:t>天内，每逾期一天，按逾期交货总金额的</w:t>
      </w:r>
      <w:r>
        <w:rPr>
          <w:rFonts w:ascii="宋体" w:hAnsi="宋体" w:cs="宋体"/>
          <w:kern w:val="0"/>
          <w:sz w:val="24"/>
        </w:rPr>
        <w:t>0.2%</w:t>
      </w:r>
      <w:r>
        <w:rPr>
          <w:rFonts w:hint="eastAsia" w:ascii="宋体" w:hAnsi="宋体" w:cs="宋体"/>
          <w:kern w:val="0"/>
          <w:sz w:val="24"/>
        </w:rPr>
        <w:t>向买方支付滞纳金；</w:t>
      </w:r>
      <w:r>
        <w:rPr>
          <w:rFonts w:hint="eastAsia" w:ascii="宋体" w:hAnsi="宋体" w:cs="宋体"/>
          <w:sz w:val="24"/>
        </w:rPr>
        <w:t>超过</w:t>
      </w:r>
      <w:r>
        <w:rPr>
          <w:rFonts w:ascii="宋体" w:hAnsi="宋体" w:cs="宋体"/>
          <w:sz w:val="24"/>
        </w:rPr>
        <w:t>10</w:t>
      </w:r>
      <w:r>
        <w:rPr>
          <w:rFonts w:hint="eastAsia" w:ascii="宋体" w:hAnsi="宋体" w:cs="宋体"/>
          <w:sz w:val="24"/>
        </w:rPr>
        <w:t>天的，由交易中心通知卖方停止供货，并按</w:t>
      </w:r>
      <w:r>
        <w:rPr>
          <w:rFonts w:ascii="宋体" w:hAnsi="宋体" w:cs="宋体"/>
          <w:sz w:val="24"/>
        </w:rPr>
        <w:t>50</w:t>
      </w:r>
      <w:r>
        <w:rPr>
          <w:rFonts w:hint="eastAsia" w:ascii="宋体" w:hAnsi="宋体" w:cs="宋体"/>
          <w:sz w:val="24"/>
        </w:rPr>
        <w:t>元</w:t>
      </w:r>
      <w:r>
        <w:rPr>
          <w:rFonts w:ascii="宋体" w:hAnsi="宋体" w:cs="宋体"/>
          <w:sz w:val="24"/>
        </w:rPr>
        <w:t>/</w:t>
      </w:r>
      <w:r>
        <w:rPr>
          <w:rFonts w:hint="eastAsia" w:ascii="宋体" w:hAnsi="宋体" w:cs="宋体"/>
          <w:sz w:val="24"/>
        </w:rPr>
        <w:t>吨扣罚中标单位逾期费</w:t>
      </w:r>
      <w:r>
        <w:rPr>
          <w:rFonts w:hint="eastAsia" w:ascii="宋体" w:hAnsi="宋体" w:cs="宋体"/>
          <w:kern w:val="0"/>
          <w:sz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276" w:lineRule="auto"/>
        <w:ind w:firstLine="480" w:firstLineChars="200"/>
        <w:rPr>
          <w:rFonts w:ascii="宋体"/>
          <w:kern w:val="0"/>
          <w:sz w:val="24"/>
        </w:rPr>
      </w:pPr>
      <w:r>
        <w:rPr>
          <w:rFonts w:ascii="宋体" w:hAnsi="宋体"/>
          <w:kern w:val="0"/>
          <w:sz w:val="24"/>
        </w:rPr>
        <w:t>3</w:t>
      </w:r>
      <w:r>
        <w:rPr>
          <w:rFonts w:hint="eastAsia" w:ascii="宋体" w:hAnsi="宋体"/>
          <w:kern w:val="0"/>
          <w:sz w:val="24"/>
        </w:rPr>
        <w:t>、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276" w:lineRule="auto"/>
        <w:ind w:firstLine="480" w:firstLineChars="200"/>
        <w:rPr>
          <w:rFonts w:ascii="宋体"/>
          <w:kern w:val="0"/>
          <w:sz w:val="24"/>
        </w:rPr>
      </w:pPr>
      <w:r>
        <w:rPr>
          <w:rFonts w:ascii="宋体" w:hAnsi="宋体"/>
          <w:kern w:val="0"/>
          <w:sz w:val="24"/>
        </w:rPr>
        <w:t>4</w:t>
      </w:r>
      <w:r>
        <w:rPr>
          <w:rFonts w:hint="eastAsia" w:ascii="宋体" w:hAnsi="宋体"/>
          <w:kern w:val="0"/>
          <w:sz w:val="24"/>
        </w:rPr>
        <w:t>、买卖双方如就质量问题发生争议，双方共同扦样并委托粮食产品质量监督检验机构检验鉴定，检验费用由责任方负担。</w:t>
      </w:r>
    </w:p>
    <w:p>
      <w:pPr>
        <w:autoSpaceDE w:val="0"/>
        <w:autoSpaceDN w:val="0"/>
        <w:adjustRightInd w:val="0"/>
        <w:spacing w:line="276" w:lineRule="auto"/>
        <w:ind w:firstLine="480" w:firstLineChars="200"/>
        <w:rPr>
          <w:rFonts w:ascii="宋体"/>
          <w:kern w:val="0"/>
          <w:sz w:val="24"/>
        </w:rPr>
      </w:pPr>
      <w:r>
        <w:rPr>
          <w:rFonts w:ascii="宋体" w:hAnsi="宋体"/>
          <w:kern w:val="0"/>
          <w:sz w:val="24"/>
        </w:rPr>
        <w:t>5</w:t>
      </w:r>
      <w:r>
        <w:rPr>
          <w:rFonts w:hint="eastAsia" w:ascii="宋体" w:hAnsi="宋体"/>
          <w:kern w:val="0"/>
          <w:sz w:val="24"/>
        </w:rPr>
        <w:t>、入库结束后由买方委托有资质的第三方扦样、检验，质量认定以有资质的第三方出具的检验结果为准。</w:t>
      </w:r>
    </w:p>
    <w:p>
      <w:pPr>
        <w:autoSpaceDE w:val="0"/>
        <w:autoSpaceDN w:val="0"/>
        <w:adjustRightInd w:val="0"/>
        <w:spacing w:line="276" w:lineRule="auto"/>
        <w:ind w:firstLine="480" w:firstLineChars="200"/>
        <w:rPr>
          <w:rFonts w:ascii="宋体"/>
          <w:sz w:val="24"/>
        </w:rPr>
      </w:pPr>
      <w:r>
        <w:rPr>
          <w:rFonts w:ascii="宋体" w:hAnsi="宋体"/>
          <w:sz w:val="24"/>
        </w:rPr>
        <w:t>6</w:t>
      </w:r>
      <w:r>
        <w:rPr>
          <w:rFonts w:hint="eastAsia" w:ascii="宋体" w:hAnsi="宋体"/>
          <w:sz w:val="24"/>
        </w:rPr>
        <w:t>、卖方提供的货物质量不符合规定的，货物由双方协商处理，余下货款额</w:t>
      </w:r>
      <w:r>
        <w:rPr>
          <w:rFonts w:ascii="宋体" w:hAnsi="宋体"/>
          <w:sz w:val="24"/>
        </w:rPr>
        <w:t>20%</w:t>
      </w:r>
      <w:r>
        <w:rPr>
          <w:rFonts w:hint="eastAsia" w:ascii="宋体" w:hAnsi="宋体"/>
          <w:sz w:val="24"/>
        </w:rPr>
        <w:t>暂不支付，专项用于弥补处理不符合质量的货物的损失，余额部分再支付卖方。</w:t>
      </w:r>
    </w:p>
    <w:p>
      <w:pPr>
        <w:autoSpaceDE w:val="0"/>
        <w:autoSpaceDN w:val="0"/>
        <w:adjustRightInd w:val="0"/>
        <w:spacing w:line="276" w:lineRule="auto"/>
        <w:ind w:firstLine="482" w:firstLineChars="200"/>
        <w:rPr>
          <w:rFonts w:asci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kern w:val="0"/>
          <w:sz w:val="24"/>
        </w:rPr>
      </w:pPr>
      <w:r>
        <w:rPr>
          <w:rFonts w:hint="eastAsia" w:ascii="宋体" w:hAnsi="宋体"/>
          <w:b/>
          <w:kern w:val="0"/>
          <w:sz w:val="24"/>
        </w:rPr>
        <w:t>十一、</w:t>
      </w:r>
      <w:r>
        <w:rPr>
          <w:rFonts w:hint="eastAsia" w:ascii="宋体" w:hAnsi="宋体"/>
          <w:kern w:val="0"/>
          <w:sz w:val="24"/>
        </w:rPr>
        <w:t>本合同一式三份，买卖双方、确认单位各执一份。</w:t>
      </w:r>
    </w:p>
    <w:p>
      <w:pPr>
        <w:autoSpaceDE w:val="0"/>
        <w:autoSpaceDN w:val="0"/>
        <w:adjustRightInd w:val="0"/>
        <w:spacing w:line="276" w:lineRule="auto"/>
        <w:ind w:firstLine="480" w:firstLineChars="200"/>
        <w:rPr>
          <w:rFonts w:ascii="宋体"/>
          <w:kern w:val="0"/>
          <w:sz w:val="24"/>
        </w:rPr>
      </w:pPr>
    </w:p>
    <w:p>
      <w:pPr>
        <w:autoSpaceDE w:val="0"/>
        <w:autoSpaceDN w:val="0"/>
        <w:adjustRightInd w:val="0"/>
        <w:spacing w:line="460" w:lineRule="exact"/>
        <w:rPr>
          <w:rFonts w:ascii="宋体"/>
          <w:kern w:val="0"/>
          <w:sz w:val="24"/>
        </w:rPr>
      </w:pPr>
      <w:r>
        <w:rPr>
          <w:rFonts w:hint="eastAsia" w:ascii="宋体" w:hAnsi="宋体"/>
          <w:kern w:val="0"/>
          <w:sz w:val="24"/>
        </w:rPr>
        <w:t>买方单位（盖章）：</w:t>
      </w:r>
      <w:r>
        <w:rPr>
          <w:rFonts w:ascii="宋体" w:hAnsi="宋体"/>
          <w:kern w:val="0"/>
          <w:sz w:val="24"/>
        </w:rPr>
        <w:t xml:space="preserve">                  </w:t>
      </w:r>
      <w:r>
        <w:rPr>
          <w:rFonts w:hint="eastAsia" w:ascii="宋体" w:hAnsi="宋体"/>
          <w:kern w:val="0"/>
          <w:sz w:val="24"/>
        </w:rPr>
        <w:t>卖方单位（盖章）：</w:t>
      </w:r>
      <w:r>
        <w:rPr>
          <w:rFonts w:ascii="宋体" w:hAnsi="宋体"/>
          <w:kern w:val="0"/>
          <w:sz w:val="24"/>
        </w:rPr>
        <w:t xml:space="preserve"> </w:t>
      </w:r>
    </w:p>
    <w:p>
      <w:pPr>
        <w:autoSpaceDE w:val="0"/>
        <w:autoSpaceDN w:val="0"/>
        <w:adjustRightInd w:val="0"/>
        <w:spacing w:line="460" w:lineRule="exact"/>
        <w:rPr>
          <w:rFonts w:ascii="宋体"/>
          <w:kern w:val="0"/>
          <w:sz w:val="24"/>
        </w:rPr>
      </w:pPr>
    </w:p>
    <w:p>
      <w:pPr>
        <w:autoSpaceDE w:val="0"/>
        <w:autoSpaceDN w:val="0"/>
        <w:adjustRightInd w:val="0"/>
        <w:spacing w:line="460" w:lineRule="exact"/>
        <w:rPr>
          <w:rFonts w:ascii="宋体"/>
          <w:kern w:val="0"/>
          <w:sz w:val="24"/>
        </w:rPr>
      </w:pPr>
      <w:r>
        <w:rPr>
          <w:rFonts w:hint="eastAsia" w:ascii="宋体" w:hAnsi="宋体"/>
          <w:kern w:val="0"/>
          <w:sz w:val="24"/>
        </w:rPr>
        <w:t>法人或代理人（签字）：</w:t>
      </w:r>
      <w:r>
        <w:rPr>
          <w:rFonts w:ascii="宋体" w:hAnsi="宋体"/>
          <w:kern w:val="0"/>
          <w:sz w:val="24"/>
        </w:rPr>
        <w:t xml:space="preserve">              </w:t>
      </w:r>
      <w:r>
        <w:rPr>
          <w:rFonts w:hint="eastAsia" w:ascii="宋体" w:hAnsi="宋体"/>
          <w:kern w:val="0"/>
          <w:sz w:val="24"/>
        </w:rPr>
        <w:t>法人或代理人（签字）：</w:t>
      </w:r>
    </w:p>
    <w:p>
      <w:pPr>
        <w:spacing w:line="500" w:lineRule="exact"/>
        <w:rPr>
          <w:rFonts w:ascii="宋体"/>
          <w:kern w:val="0"/>
          <w:sz w:val="24"/>
        </w:rPr>
      </w:pPr>
      <w:r>
        <w:rPr>
          <w:rFonts w:hint="eastAsia" w:ascii="宋体" w:hAnsi="宋体"/>
          <w:kern w:val="0"/>
          <w:sz w:val="24"/>
        </w:rPr>
        <w:t>电话：</w:t>
      </w:r>
      <w:r>
        <w:rPr>
          <w:rFonts w:ascii="宋体" w:hAnsi="宋体"/>
          <w:kern w:val="0"/>
          <w:sz w:val="24"/>
        </w:rPr>
        <w:t>0753-2128912</w:t>
      </w:r>
    </w:p>
    <w:p>
      <w:pPr>
        <w:spacing w:line="500" w:lineRule="exact"/>
        <w:rPr>
          <w:rFonts w:ascii="宋体"/>
          <w:kern w:val="0"/>
          <w:sz w:val="24"/>
        </w:rPr>
      </w:pPr>
      <w:r>
        <w:rPr>
          <w:rFonts w:hint="eastAsia" w:ascii="宋体" w:hAnsi="宋体"/>
          <w:kern w:val="0"/>
          <w:sz w:val="24"/>
        </w:rPr>
        <w:t>传真</w:t>
      </w:r>
      <w:r>
        <w:rPr>
          <w:rFonts w:hint="eastAsia" w:ascii="宋体" w:hAnsi="宋体"/>
          <w:sz w:val="24"/>
        </w:rPr>
        <w:t>：</w:t>
      </w:r>
      <w:r>
        <w:rPr>
          <w:rFonts w:ascii="宋体" w:hAnsi="宋体"/>
          <w:sz w:val="24"/>
        </w:rPr>
        <w:t>0753-2128912</w:t>
      </w:r>
    </w:p>
    <w:p>
      <w:pPr>
        <w:spacing w:line="500" w:lineRule="exact"/>
        <w:rPr>
          <w:rFonts w:ascii="宋体"/>
          <w:kern w:val="0"/>
          <w:sz w:val="24"/>
        </w:rPr>
      </w:pPr>
    </w:p>
    <w:p>
      <w:pPr>
        <w:spacing w:line="500" w:lineRule="exact"/>
        <w:rPr>
          <w:rFonts w:ascii="宋体"/>
          <w:sz w:val="24"/>
        </w:rPr>
      </w:pPr>
      <w:r>
        <w:rPr>
          <w:rFonts w:hint="eastAsia" w:ascii="宋体" w:hAnsi="宋体"/>
          <w:sz w:val="24"/>
        </w:rPr>
        <w:t>确认单位：梅州市嘉应粮食交易中心有限公司</w:t>
      </w:r>
    </w:p>
    <w:p>
      <w:pPr>
        <w:spacing w:line="500" w:lineRule="exact"/>
        <w:rPr>
          <w:rFonts w:ascii="宋体"/>
          <w:sz w:val="24"/>
        </w:rPr>
      </w:pPr>
      <w:r>
        <w:rPr>
          <w:rFonts w:hint="eastAsia" w:ascii="宋体" w:hAnsi="宋体"/>
          <w:kern w:val="0"/>
          <w:sz w:val="24"/>
        </w:rPr>
        <w:t>电话（传真）</w:t>
      </w:r>
      <w:r>
        <w:rPr>
          <w:rFonts w:hint="eastAsia" w:ascii="宋体" w:hAnsi="宋体"/>
          <w:sz w:val="24"/>
        </w:rPr>
        <w:t>：</w:t>
      </w:r>
      <w:r>
        <w:rPr>
          <w:rFonts w:ascii="宋体" w:hAnsi="宋体"/>
          <w:sz w:val="24"/>
        </w:rPr>
        <w:t xml:space="preserve">0753-2128232    0753-2128231     </w:t>
      </w:r>
    </w:p>
    <w:p>
      <w:pPr>
        <w:spacing w:line="500" w:lineRule="exact"/>
        <w:jc w:val="right"/>
        <w:rPr>
          <w:rFonts w:ascii="宋体"/>
          <w:sz w:val="24"/>
        </w:rPr>
      </w:pPr>
      <w:r>
        <w:rPr>
          <w:rFonts w:ascii="宋体" w:hAnsi="宋体"/>
          <w:sz w:val="24"/>
        </w:rPr>
        <w:t>2024</w:t>
      </w:r>
      <w:r>
        <w:rPr>
          <w:rFonts w:hint="eastAsia" w:ascii="宋体" w:hAnsi="宋体"/>
          <w:sz w:val="24"/>
        </w:rPr>
        <w:t>年</w:t>
      </w:r>
      <w:r>
        <w:rPr>
          <w:rFonts w:ascii="宋体" w:hAnsi="宋体"/>
          <w:sz w:val="24"/>
        </w:rPr>
        <w:t>XXX</w:t>
      </w:r>
      <w:r>
        <w:rPr>
          <w:rFonts w:hint="eastAsia" w:ascii="宋体" w:hAnsi="宋体"/>
          <w:sz w:val="24"/>
        </w:rPr>
        <w:t>　月</w:t>
      </w:r>
      <w:r>
        <w:rPr>
          <w:rFonts w:ascii="宋体" w:hAnsi="宋体"/>
          <w:sz w:val="24"/>
        </w:rPr>
        <w:t>XXX</w:t>
      </w:r>
      <w:r>
        <w:rPr>
          <w:rFonts w:hint="eastAsia" w:ascii="宋体" w:hAnsi="宋体"/>
          <w:sz w:val="24"/>
        </w:rPr>
        <w:t>　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267E"/>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C5A"/>
    <w:rsid w:val="00470F90"/>
    <w:rsid w:val="004812D8"/>
    <w:rsid w:val="00482960"/>
    <w:rsid w:val="004851E2"/>
    <w:rsid w:val="00497FD1"/>
    <w:rsid w:val="004A095E"/>
    <w:rsid w:val="004D787A"/>
    <w:rsid w:val="004E4C71"/>
    <w:rsid w:val="004E747F"/>
    <w:rsid w:val="004F2395"/>
    <w:rsid w:val="004F70D0"/>
    <w:rsid w:val="004F7206"/>
    <w:rsid w:val="004F74C3"/>
    <w:rsid w:val="005046F7"/>
    <w:rsid w:val="00511694"/>
    <w:rsid w:val="005141F0"/>
    <w:rsid w:val="00537024"/>
    <w:rsid w:val="00547CD6"/>
    <w:rsid w:val="005534E2"/>
    <w:rsid w:val="0056124C"/>
    <w:rsid w:val="005644F2"/>
    <w:rsid w:val="00585AE5"/>
    <w:rsid w:val="005874E9"/>
    <w:rsid w:val="00594B32"/>
    <w:rsid w:val="005A266A"/>
    <w:rsid w:val="005B6590"/>
    <w:rsid w:val="005C6853"/>
    <w:rsid w:val="005E1815"/>
    <w:rsid w:val="005E658F"/>
    <w:rsid w:val="005F3B4B"/>
    <w:rsid w:val="005F5542"/>
    <w:rsid w:val="00606DF5"/>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6AF9"/>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B7DAF"/>
    <w:rsid w:val="007D0C0F"/>
    <w:rsid w:val="007D35C6"/>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6744F"/>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10A6"/>
    <w:rsid w:val="00BD24F5"/>
    <w:rsid w:val="00BD3BEB"/>
    <w:rsid w:val="00BD639F"/>
    <w:rsid w:val="00BF6531"/>
    <w:rsid w:val="00C13039"/>
    <w:rsid w:val="00C256A6"/>
    <w:rsid w:val="00C26A5E"/>
    <w:rsid w:val="00C36713"/>
    <w:rsid w:val="00C36DBB"/>
    <w:rsid w:val="00C52187"/>
    <w:rsid w:val="00C66EA7"/>
    <w:rsid w:val="00C67EF0"/>
    <w:rsid w:val="00C703DA"/>
    <w:rsid w:val="00C7107C"/>
    <w:rsid w:val="00C83FB6"/>
    <w:rsid w:val="00C903BA"/>
    <w:rsid w:val="00C936A8"/>
    <w:rsid w:val="00CA46F9"/>
    <w:rsid w:val="00CB769B"/>
    <w:rsid w:val="00CD0183"/>
    <w:rsid w:val="00CD6992"/>
    <w:rsid w:val="00CD6AC1"/>
    <w:rsid w:val="00CD6F76"/>
    <w:rsid w:val="00CE2620"/>
    <w:rsid w:val="00CE3257"/>
    <w:rsid w:val="00CE4D88"/>
    <w:rsid w:val="00D1010C"/>
    <w:rsid w:val="00D2111B"/>
    <w:rsid w:val="00D24989"/>
    <w:rsid w:val="00D24C2D"/>
    <w:rsid w:val="00D258A1"/>
    <w:rsid w:val="00D402E7"/>
    <w:rsid w:val="00D57136"/>
    <w:rsid w:val="00D5713F"/>
    <w:rsid w:val="00D652C4"/>
    <w:rsid w:val="00D73337"/>
    <w:rsid w:val="00D836D9"/>
    <w:rsid w:val="00D851E9"/>
    <w:rsid w:val="00D95A57"/>
    <w:rsid w:val="00D97003"/>
    <w:rsid w:val="00DA3629"/>
    <w:rsid w:val="00DB1AFF"/>
    <w:rsid w:val="00DE2C0F"/>
    <w:rsid w:val="00DE3463"/>
    <w:rsid w:val="00DE4060"/>
    <w:rsid w:val="00DF6020"/>
    <w:rsid w:val="00E07358"/>
    <w:rsid w:val="00E14A60"/>
    <w:rsid w:val="00E14A98"/>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0E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44211E6"/>
    <w:rsid w:val="051143AD"/>
    <w:rsid w:val="05E2393C"/>
    <w:rsid w:val="07161D73"/>
    <w:rsid w:val="0908176D"/>
    <w:rsid w:val="0B9126F6"/>
    <w:rsid w:val="0D392F89"/>
    <w:rsid w:val="0F1F02D6"/>
    <w:rsid w:val="10CB02D8"/>
    <w:rsid w:val="118C0E6B"/>
    <w:rsid w:val="12135876"/>
    <w:rsid w:val="125C3356"/>
    <w:rsid w:val="1346135D"/>
    <w:rsid w:val="1857557B"/>
    <w:rsid w:val="1AFC7132"/>
    <w:rsid w:val="1DD61215"/>
    <w:rsid w:val="1E62794B"/>
    <w:rsid w:val="20360172"/>
    <w:rsid w:val="210B326D"/>
    <w:rsid w:val="215A0B39"/>
    <w:rsid w:val="225D7EDE"/>
    <w:rsid w:val="26095380"/>
    <w:rsid w:val="27354572"/>
    <w:rsid w:val="2A8E7BD6"/>
    <w:rsid w:val="2B0F04E4"/>
    <w:rsid w:val="2C1A571D"/>
    <w:rsid w:val="2D8F19F0"/>
    <w:rsid w:val="2E137965"/>
    <w:rsid w:val="2ECE4DFA"/>
    <w:rsid w:val="2F584C39"/>
    <w:rsid w:val="2FD15812"/>
    <w:rsid w:val="31D670FA"/>
    <w:rsid w:val="323D01C2"/>
    <w:rsid w:val="33EC7386"/>
    <w:rsid w:val="36787D3F"/>
    <w:rsid w:val="37353CF1"/>
    <w:rsid w:val="3AF85F80"/>
    <w:rsid w:val="3BC20FD8"/>
    <w:rsid w:val="3C0D0169"/>
    <w:rsid w:val="3C856F5D"/>
    <w:rsid w:val="3D3074E0"/>
    <w:rsid w:val="3D4D0EE9"/>
    <w:rsid w:val="3D51466B"/>
    <w:rsid w:val="3F7756B9"/>
    <w:rsid w:val="40893FBC"/>
    <w:rsid w:val="408A516E"/>
    <w:rsid w:val="42776B9A"/>
    <w:rsid w:val="4389779A"/>
    <w:rsid w:val="43BB4ED7"/>
    <w:rsid w:val="456B20FC"/>
    <w:rsid w:val="483B1A31"/>
    <w:rsid w:val="48A47531"/>
    <w:rsid w:val="4AD229A4"/>
    <w:rsid w:val="4C4D38D7"/>
    <w:rsid w:val="4CC8609B"/>
    <w:rsid w:val="4E5649C1"/>
    <w:rsid w:val="505B0E92"/>
    <w:rsid w:val="5117647A"/>
    <w:rsid w:val="52275BA3"/>
    <w:rsid w:val="523B63BD"/>
    <w:rsid w:val="54FA68C7"/>
    <w:rsid w:val="57D202A6"/>
    <w:rsid w:val="57FA74C5"/>
    <w:rsid w:val="5B822C91"/>
    <w:rsid w:val="5C9C75CF"/>
    <w:rsid w:val="603F27E3"/>
    <w:rsid w:val="60B20EBA"/>
    <w:rsid w:val="60B600C2"/>
    <w:rsid w:val="61200DE8"/>
    <w:rsid w:val="619A6C42"/>
    <w:rsid w:val="698741E4"/>
    <w:rsid w:val="6AD14CF6"/>
    <w:rsid w:val="704B3561"/>
    <w:rsid w:val="71F226C2"/>
    <w:rsid w:val="7670311D"/>
    <w:rsid w:val="76736AD0"/>
    <w:rsid w:val="78063DE7"/>
    <w:rsid w:val="79524741"/>
    <w:rsid w:val="79D97FF7"/>
    <w:rsid w:val="7A047CE7"/>
    <w:rsid w:val="7AE02EFB"/>
    <w:rsid w:val="7F2B3BE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2"/>
    <w:qFormat/>
    <w:uiPriority w:val="99"/>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iPriority w:val="99"/>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ody Text Indent"/>
    <w:basedOn w:val="1"/>
    <w:link w:val="13"/>
    <w:autoRedefine/>
    <w:qFormat/>
    <w:uiPriority w:val="99"/>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link w:val="14"/>
    <w:uiPriority w:val="99"/>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link w:val="15"/>
    <w:autoRedefine/>
    <w:semiHidden/>
    <w:qFormat/>
    <w:uiPriority w:val="99"/>
    <w:rPr>
      <w:sz w:val="18"/>
      <w:szCs w:val="18"/>
    </w:rPr>
  </w:style>
  <w:style w:type="paragraph" w:styleId="6">
    <w:name w:val="footer"/>
    <w:basedOn w:val="1"/>
    <w:link w:val="16"/>
    <w:uiPriority w:val="99"/>
    <w:pPr>
      <w:tabs>
        <w:tab w:val="center" w:pos="4153"/>
        <w:tab w:val="right" w:pos="8306"/>
      </w:tabs>
      <w:snapToGrid w:val="0"/>
      <w:jc w:val="left"/>
    </w:pPr>
    <w:rPr>
      <w:sz w:val="18"/>
      <w:szCs w:val="18"/>
    </w:rPr>
  </w:style>
  <w:style w:type="paragraph" w:styleId="7">
    <w:name w:val="header"/>
    <w:basedOn w:val="1"/>
    <w:link w:val="17"/>
    <w:uiPriority w:val="99"/>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uiPriority w:val="99"/>
  </w:style>
  <w:style w:type="character" w:styleId="11">
    <w:name w:val="page number"/>
    <w:basedOn w:val="10"/>
    <w:uiPriority w:val="99"/>
    <w:rPr>
      <w:rFonts w:cs="Times New Roman"/>
    </w:rPr>
  </w:style>
  <w:style w:type="character" w:customStyle="1" w:styleId="12">
    <w:name w:val="Heading 2 Char"/>
    <w:basedOn w:val="10"/>
    <w:link w:val="2"/>
    <w:semiHidden/>
    <w:locked/>
    <w:uiPriority w:val="99"/>
    <w:rPr>
      <w:rFonts w:ascii="Cambria" w:hAnsi="Cambria" w:eastAsia="宋体" w:cs="Times New Roman"/>
      <w:b/>
      <w:bCs/>
      <w:sz w:val="32"/>
      <w:szCs w:val="32"/>
    </w:rPr>
  </w:style>
  <w:style w:type="character" w:customStyle="1" w:styleId="13">
    <w:name w:val="Body Text Indent Char"/>
    <w:basedOn w:val="10"/>
    <w:link w:val="3"/>
    <w:autoRedefine/>
    <w:qFormat/>
    <w:locked/>
    <w:uiPriority w:val="99"/>
    <w:rPr>
      <w:rFonts w:ascii="仿宋_GB2312" w:eastAsia="仿宋_GB2312" w:cs="Times New Roman"/>
      <w:sz w:val="24"/>
      <w:szCs w:val="24"/>
    </w:rPr>
  </w:style>
  <w:style w:type="character" w:customStyle="1" w:styleId="14">
    <w:name w:val="Body Text Indent 2 Char"/>
    <w:basedOn w:val="10"/>
    <w:link w:val="4"/>
    <w:autoRedefine/>
    <w:semiHidden/>
    <w:qFormat/>
    <w:locked/>
    <w:uiPriority w:val="99"/>
    <w:rPr>
      <w:rFonts w:cs="Times New Roman"/>
      <w:sz w:val="24"/>
      <w:szCs w:val="24"/>
    </w:rPr>
  </w:style>
  <w:style w:type="character" w:customStyle="1" w:styleId="15">
    <w:name w:val="Balloon Text Char"/>
    <w:basedOn w:val="10"/>
    <w:link w:val="5"/>
    <w:autoRedefine/>
    <w:semiHidden/>
    <w:qFormat/>
    <w:locked/>
    <w:uiPriority w:val="99"/>
    <w:rPr>
      <w:rFonts w:cs="Times New Roman"/>
      <w:sz w:val="2"/>
    </w:rPr>
  </w:style>
  <w:style w:type="character" w:customStyle="1" w:styleId="16">
    <w:name w:val="Footer Char"/>
    <w:basedOn w:val="10"/>
    <w:link w:val="6"/>
    <w:autoRedefine/>
    <w:semiHidden/>
    <w:qFormat/>
    <w:locked/>
    <w:uiPriority w:val="99"/>
    <w:rPr>
      <w:rFonts w:cs="Times New Roman"/>
      <w:sz w:val="18"/>
      <w:szCs w:val="18"/>
    </w:rPr>
  </w:style>
  <w:style w:type="character" w:customStyle="1" w:styleId="17">
    <w:name w:val="Header Char"/>
    <w:basedOn w:val="10"/>
    <w:link w:val="7"/>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grain</Company>
  <Pages>2</Pages>
  <Words>282</Words>
  <Characters>1613</Characters>
  <Lines>0</Lines>
  <Paragraphs>0</Paragraphs>
  <TotalTime>35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2024-03-18T02:27:00Z</dcterms:created>
  <dc:creator>hn</dc:creator>
  <cp:lastModifiedBy>汇兴</cp:lastModifiedBy>
  <cp:lastPrinted>2024-03-18T03:23:00Z</cp:lastPrinted>
  <dcterms:modified xsi:type="dcterms:W3CDTF">2024-03-18T07:48:15Z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28DFE8F4885549B1B78AFBCA276A62FC</vt:lpwstr>
  </property>
</Properties>
</file>