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utoSpaceDE w:val="0"/>
        <w:autoSpaceDN w:val="0"/>
        <w:adjustRightInd w:val="0"/>
        <w:jc w:val="center"/>
        <w:rPr>
          <w:rFonts w:ascii="宋体" w:hAnsi="宋体"/>
          <w:b/>
          <w:kern w:val="0"/>
          <w:sz w:val="48"/>
          <w:szCs w:val="48"/>
        </w:rPr>
      </w:pPr>
      <w:r>
        <w:rPr>
          <w:rFonts w:hint="eastAsia" w:ascii="宋体" w:hAnsi="宋体"/>
          <w:b/>
          <w:kern w:val="0"/>
          <w:sz w:val="48"/>
          <w:szCs w:val="48"/>
        </w:rPr>
        <w:t>梅州市嘉应粮食交易中心</w:t>
      </w:r>
    </w:p>
    <w:p>
      <w:pPr>
        <w:autoSpaceDE w:val="0"/>
        <w:autoSpaceDN w:val="0"/>
        <w:adjustRightInd w:val="0"/>
        <w:jc w:val="center"/>
        <w:rPr>
          <w:rFonts w:ascii="宋体" w:hAnsi="宋体"/>
          <w:b/>
          <w:kern w:val="0"/>
          <w:sz w:val="48"/>
          <w:szCs w:val="48"/>
        </w:rPr>
      </w:pPr>
      <w:r>
        <w:rPr>
          <w:rFonts w:hint="eastAsia" w:ascii="宋体" w:hAnsi="宋体"/>
          <w:b/>
          <w:kern w:val="0"/>
          <w:sz w:val="48"/>
          <w:szCs w:val="48"/>
        </w:rPr>
        <w:t>粮食竞价采购交易合同</w:t>
      </w:r>
    </w:p>
    <w:p>
      <w:pPr>
        <w:autoSpaceDE w:val="0"/>
        <w:autoSpaceDN w:val="0"/>
        <w:adjustRightInd w:val="0"/>
        <w:rPr>
          <w:rFonts w:hint="eastAsia" w:ascii="宋体" w:hAnsi="宋体"/>
          <w:kern w:val="0"/>
          <w:sz w:val="28"/>
        </w:rPr>
      </w:pPr>
      <w:r>
        <w:rPr>
          <w:rFonts w:hint="eastAsia" w:ascii="宋体" w:hAnsi="宋体"/>
          <w:kern w:val="0"/>
          <w:sz w:val="28"/>
        </w:rPr>
        <w:t>合同编号：</w:t>
      </w:r>
    </w:p>
    <w:p>
      <w:pPr>
        <w:autoSpaceDE w:val="0"/>
        <w:autoSpaceDN w:val="0"/>
        <w:adjustRightInd w:val="0"/>
        <w:rPr>
          <w:rFonts w:ascii="宋体" w:hAnsi="宋体"/>
          <w:kern w:val="0"/>
          <w:sz w:val="28"/>
        </w:rPr>
      </w:pPr>
      <w:r>
        <w:rPr>
          <w:rFonts w:hint="eastAsia" w:ascii="宋体" w:hAnsi="宋体"/>
          <w:kern w:val="0"/>
          <w:sz w:val="28"/>
        </w:rPr>
        <w:t>买方全称：兴宁市齐昌粮油储备管理有限公司</w:t>
      </w:r>
    </w:p>
    <w:p>
      <w:pPr>
        <w:autoSpaceDE w:val="0"/>
        <w:autoSpaceDN w:val="0"/>
        <w:adjustRightInd w:val="0"/>
        <w:rPr>
          <w:rFonts w:hint="eastAsia" w:ascii="宋体" w:hAnsi="宋体"/>
          <w:kern w:val="0"/>
          <w:sz w:val="28"/>
        </w:rPr>
      </w:pPr>
      <w:r>
        <w:rPr>
          <w:rFonts w:hint="eastAsia" w:ascii="宋体" w:hAnsi="宋体"/>
          <w:kern w:val="0"/>
          <w:sz w:val="28"/>
        </w:rPr>
        <w:t>卖方全称：</w:t>
      </w:r>
    </w:p>
    <w:p>
      <w:pPr>
        <w:autoSpaceDE w:val="0"/>
        <w:autoSpaceDN w:val="0"/>
        <w:adjustRightInd w:val="0"/>
        <w:ind w:firstLine="482" w:firstLineChars="200"/>
        <w:rPr>
          <w:rFonts w:ascii="宋体" w:hAnsi="宋体"/>
          <w:kern w:val="0"/>
          <w:sz w:val="24"/>
        </w:rPr>
      </w:pPr>
      <w:r>
        <w:rPr>
          <w:rFonts w:hint="eastAsia" w:ascii="宋体" w:hAnsi="宋体"/>
          <w:b/>
          <w:bCs/>
          <w:kern w:val="0"/>
          <w:sz w:val="24"/>
        </w:rPr>
        <w:t>一、成交标的</w:t>
      </w:r>
      <w:r>
        <w:rPr>
          <w:rFonts w:hint="eastAsia" w:ascii="宋体" w:hAnsi="宋体"/>
          <w:kern w:val="0"/>
          <w:sz w:val="24"/>
        </w:rPr>
        <w:t>（见下表）                                单位：元、吨</w:t>
      </w:r>
    </w:p>
    <w:tbl>
      <w:tblPr>
        <w:tblStyle w:val="6"/>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48"/>
        <w:gridCol w:w="1967"/>
        <w:gridCol w:w="1276"/>
        <w:gridCol w:w="382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3" w:hRule="atLeast"/>
          <w:jc w:val="center"/>
        </w:trPr>
        <w:tc>
          <w:tcPr>
            <w:tcW w:w="1448" w:type="dxa"/>
            <w:tcBorders>
              <w:top w:val="single" w:color="auto" w:sz="4" w:space="0"/>
              <w:left w:val="single" w:color="auto" w:sz="4" w:space="0"/>
              <w:bottom w:val="single" w:color="auto" w:sz="4" w:space="0"/>
              <w:right w:val="single" w:color="auto" w:sz="4" w:space="0"/>
            </w:tcBorders>
            <w:vAlign w:val="center"/>
          </w:tcPr>
          <w:p>
            <w:pPr>
              <w:pStyle w:val="2"/>
              <w:spacing w:line="240" w:lineRule="auto"/>
              <w:ind w:firstLine="0" w:firstLineChars="0"/>
              <w:jc w:val="center"/>
              <w:rPr>
                <w:rFonts w:ascii="宋体" w:hAnsi="宋体" w:eastAsia="宋体"/>
                <w:b/>
                <w:bCs/>
                <w:kern w:val="2"/>
                <w:sz w:val="24"/>
              </w:rPr>
            </w:pPr>
            <w:r>
              <w:rPr>
                <w:rFonts w:hint="eastAsia" w:ascii="宋体" w:hAnsi="宋体" w:eastAsia="宋体"/>
                <w:b/>
                <w:bCs/>
                <w:kern w:val="2"/>
                <w:sz w:val="24"/>
              </w:rPr>
              <w:t>标的号</w:t>
            </w:r>
          </w:p>
        </w:tc>
        <w:tc>
          <w:tcPr>
            <w:tcW w:w="1967" w:type="dxa"/>
            <w:tcBorders>
              <w:top w:val="single" w:color="auto" w:sz="4" w:space="0"/>
              <w:left w:val="single" w:color="auto" w:sz="4" w:space="0"/>
              <w:bottom w:val="single" w:color="auto" w:sz="4" w:space="0"/>
              <w:right w:val="single" w:color="auto" w:sz="4" w:space="0"/>
            </w:tcBorders>
            <w:vAlign w:val="center"/>
          </w:tcPr>
          <w:p>
            <w:pPr>
              <w:pStyle w:val="2"/>
              <w:spacing w:line="240" w:lineRule="auto"/>
              <w:ind w:firstLine="0" w:firstLineChars="0"/>
              <w:jc w:val="center"/>
              <w:rPr>
                <w:rFonts w:ascii="宋体" w:hAnsi="宋体" w:eastAsia="宋体"/>
                <w:kern w:val="2"/>
                <w:sz w:val="24"/>
              </w:rPr>
            </w:pPr>
          </w:p>
        </w:tc>
        <w:tc>
          <w:tcPr>
            <w:tcW w:w="1276" w:type="dxa"/>
            <w:tcBorders>
              <w:top w:val="single" w:color="auto" w:sz="4" w:space="0"/>
              <w:left w:val="single" w:color="auto" w:sz="4" w:space="0"/>
              <w:bottom w:val="single" w:color="auto" w:sz="4" w:space="0"/>
              <w:right w:val="single" w:color="auto" w:sz="4" w:space="0"/>
            </w:tcBorders>
            <w:vAlign w:val="center"/>
          </w:tcPr>
          <w:p>
            <w:pPr>
              <w:pStyle w:val="2"/>
              <w:spacing w:line="240" w:lineRule="auto"/>
              <w:ind w:firstLine="0" w:firstLineChars="0"/>
              <w:jc w:val="center"/>
              <w:rPr>
                <w:rFonts w:ascii="宋体" w:hAnsi="宋体" w:eastAsia="宋体"/>
                <w:b/>
                <w:bCs/>
                <w:kern w:val="2"/>
                <w:sz w:val="24"/>
              </w:rPr>
            </w:pPr>
            <w:r>
              <w:rPr>
                <w:rFonts w:hint="eastAsia" w:ascii="宋体" w:hAnsi="宋体" w:eastAsia="宋体"/>
                <w:b/>
                <w:bCs/>
                <w:kern w:val="2"/>
                <w:sz w:val="24"/>
              </w:rPr>
              <w:t>生产年度</w:t>
            </w:r>
          </w:p>
        </w:tc>
        <w:tc>
          <w:tcPr>
            <w:tcW w:w="3827" w:type="dxa"/>
            <w:tcBorders>
              <w:top w:val="single" w:color="auto" w:sz="4" w:space="0"/>
              <w:left w:val="single" w:color="auto" w:sz="4" w:space="0"/>
              <w:bottom w:val="single" w:color="auto" w:sz="4" w:space="0"/>
              <w:right w:val="single" w:color="auto" w:sz="4" w:space="0"/>
            </w:tcBorders>
            <w:vAlign w:val="center"/>
          </w:tcPr>
          <w:p>
            <w:pPr>
              <w:pStyle w:val="2"/>
              <w:spacing w:line="240" w:lineRule="auto"/>
              <w:ind w:firstLine="0" w:firstLineChars="0"/>
              <w:jc w:val="center"/>
              <w:rPr>
                <w:rFonts w:ascii="宋体" w:hAnsi="宋体" w:eastAsia="宋体"/>
                <w:kern w:val="2"/>
                <w:sz w:val="24"/>
              </w:rPr>
            </w:pPr>
            <w:r>
              <w:rPr>
                <w:rFonts w:hint="eastAsia" w:ascii="宋体" w:hAnsi="宋体" w:eastAsia="宋体"/>
                <w:kern w:val="2"/>
                <w:sz w:val="24"/>
              </w:rPr>
              <w:t>202</w:t>
            </w:r>
            <w:r>
              <w:rPr>
                <w:rFonts w:hint="eastAsia" w:ascii="宋体" w:hAnsi="宋体" w:eastAsia="宋体"/>
                <w:kern w:val="2"/>
                <w:sz w:val="24"/>
                <w:lang w:val="en-US" w:eastAsia="zh-CN"/>
              </w:rPr>
              <w:t>3</w:t>
            </w:r>
            <w:r>
              <w:rPr>
                <w:rFonts w:hint="eastAsia" w:ascii="宋体" w:hAnsi="宋体" w:eastAsia="宋体"/>
                <w:kern w:val="2"/>
                <w:sz w:val="24"/>
              </w:rPr>
              <w:t>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8" w:hRule="atLeast"/>
          <w:jc w:val="center"/>
        </w:trPr>
        <w:tc>
          <w:tcPr>
            <w:tcW w:w="1448" w:type="dxa"/>
            <w:tcBorders>
              <w:top w:val="single" w:color="auto" w:sz="4" w:space="0"/>
              <w:left w:val="single" w:color="auto" w:sz="4" w:space="0"/>
              <w:bottom w:val="single" w:color="auto" w:sz="4" w:space="0"/>
              <w:right w:val="single" w:color="auto" w:sz="4" w:space="0"/>
            </w:tcBorders>
            <w:vAlign w:val="center"/>
          </w:tcPr>
          <w:p>
            <w:pPr>
              <w:pStyle w:val="2"/>
              <w:spacing w:line="240" w:lineRule="auto"/>
              <w:ind w:firstLine="0" w:firstLineChars="0"/>
              <w:jc w:val="center"/>
              <w:rPr>
                <w:rFonts w:ascii="宋体" w:hAnsi="宋体" w:eastAsia="宋体"/>
                <w:b/>
                <w:bCs/>
                <w:kern w:val="2"/>
                <w:sz w:val="24"/>
              </w:rPr>
            </w:pPr>
            <w:r>
              <w:rPr>
                <w:rFonts w:hint="eastAsia" w:ascii="宋体" w:hAnsi="宋体" w:eastAsia="宋体"/>
                <w:b/>
                <w:bCs/>
                <w:kern w:val="2"/>
                <w:sz w:val="24"/>
              </w:rPr>
              <w:t>品种</w:t>
            </w:r>
          </w:p>
        </w:tc>
        <w:tc>
          <w:tcPr>
            <w:tcW w:w="1967" w:type="dxa"/>
            <w:tcBorders>
              <w:top w:val="single" w:color="auto" w:sz="4" w:space="0"/>
              <w:left w:val="single" w:color="auto" w:sz="4" w:space="0"/>
              <w:bottom w:val="single" w:color="auto" w:sz="4" w:space="0"/>
              <w:right w:val="single" w:color="auto" w:sz="4" w:space="0"/>
            </w:tcBorders>
            <w:vAlign w:val="center"/>
          </w:tcPr>
          <w:p>
            <w:pPr>
              <w:pStyle w:val="2"/>
              <w:spacing w:line="240" w:lineRule="auto"/>
              <w:ind w:firstLine="0" w:firstLineChars="0"/>
              <w:jc w:val="center"/>
              <w:rPr>
                <w:rFonts w:ascii="宋体" w:hAnsi="宋体" w:eastAsia="宋体"/>
                <w:kern w:val="2"/>
                <w:sz w:val="24"/>
              </w:rPr>
            </w:pPr>
            <w:r>
              <w:rPr>
                <w:rFonts w:hint="eastAsia" w:ascii="宋体" w:hAnsi="宋体" w:eastAsia="宋体"/>
                <w:kern w:val="2"/>
                <w:sz w:val="24"/>
                <w:lang w:eastAsia="zh-CN"/>
              </w:rPr>
              <w:t>早籼稻</w:t>
            </w:r>
            <w:r>
              <w:rPr>
                <w:rFonts w:hint="eastAsia" w:ascii="宋体" w:hAnsi="宋体" w:eastAsia="宋体"/>
                <w:kern w:val="2"/>
                <w:sz w:val="24"/>
              </w:rPr>
              <w:t>谷</w:t>
            </w:r>
          </w:p>
        </w:tc>
        <w:tc>
          <w:tcPr>
            <w:tcW w:w="1276" w:type="dxa"/>
            <w:tcBorders>
              <w:top w:val="single" w:color="auto" w:sz="4" w:space="0"/>
              <w:left w:val="single" w:color="auto" w:sz="4" w:space="0"/>
              <w:bottom w:val="single" w:color="auto" w:sz="4" w:space="0"/>
              <w:right w:val="single" w:color="auto" w:sz="4" w:space="0"/>
            </w:tcBorders>
            <w:vAlign w:val="center"/>
          </w:tcPr>
          <w:p>
            <w:pPr>
              <w:pStyle w:val="2"/>
              <w:spacing w:line="240" w:lineRule="auto"/>
              <w:ind w:firstLine="0" w:firstLineChars="0"/>
              <w:jc w:val="center"/>
              <w:rPr>
                <w:rFonts w:ascii="宋体" w:hAnsi="宋体" w:eastAsia="宋体"/>
                <w:b/>
                <w:bCs/>
                <w:kern w:val="2"/>
                <w:sz w:val="24"/>
              </w:rPr>
            </w:pPr>
            <w:r>
              <w:rPr>
                <w:rFonts w:hint="eastAsia" w:ascii="宋体" w:hAnsi="宋体" w:eastAsia="宋体"/>
                <w:b/>
                <w:bCs/>
                <w:kern w:val="2"/>
                <w:sz w:val="24"/>
              </w:rPr>
              <w:t>数量</w:t>
            </w:r>
          </w:p>
        </w:tc>
        <w:tc>
          <w:tcPr>
            <w:tcW w:w="3827" w:type="dxa"/>
            <w:tcBorders>
              <w:top w:val="single" w:color="auto" w:sz="4" w:space="0"/>
              <w:left w:val="single" w:color="auto" w:sz="4" w:space="0"/>
              <w:bottom w:val="single" w:color="auto" w:sz="4" w:space="0"/>
              <w:right w:val="single" w:color="auto" w:sz="4" w:space="0"/>
            </w:tcBorders>
            <w:vAlign w:val="center"/>
          </w:tcPr>
          <w:p>
            <w:pPr>
              <w:pStyle w:val="2"/>
              <w:spacing w:line="240" w:lineRule="auto"/>
              <w:ind w:firstLine="0" w:firstLineChars="0"/>
              <w:jc w:val="center"/>
              <w:rPr>
                <w:rFonts w:hint="eastAsia" w:ascii="宋体" w:hAnsi="宋体" w:eastAsia="宋体"/>
                <w:kern w:val="2"/>
                <w:sz w:val="24"/>
                <w:lang w:val="en-US" w:eastAsia="zh-CN"/>
              </w:rPr>
            </w:pPr>
            <w:r>
              <w:rPr>
                <w:rFonts w:hint="eastAsia" w:ascii="宋体" w:hAnsi="宋体" w:eastAsia="宋体"/>
                <w:kern w:val="2"/>
                <w:sz w:val="24"/>
                <w:lang w:val="en-US" w:eastAsia="zh-CN"/>
              </w:rPr>
              <w:t>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1" w:hRule="atLeast"/>
          <w:jc w:val="center"/>
        </w:trPr>
        <w:tc>
          <w:tcPr>
            <w:tcW w:w="1448" w:type="dxa"/>
            <w:tcBorders>
              <w:top w:val="single" w:color="auto" w:sz="4" w:space="0"/>
              <w:left w:val="single" w:color="auto" w:sz="4" w:space="0"/>
              <w:bottom w:val="single" w:color="auto" w:sz="4" w:space="0"/>
              <w:right w:val="single" w:color="auto" w:sz="4" w:space="0"/>
            </w:tcBorders>
            <w:vAlign w:val="center"/>
          </w:tcPr>
          <w:p>
            <w:pPr>
              <w:pStyle w:val="2"/>
              <w:spacing w:line="240" w:lineRule="auto"/>
              <w:ind w:firstLine="0" w:firstLineChars="0"/>
              <w:jc w:val="center"/>
              <w:rPr>
                <w:rFonts w:ascii="宋体" w:hAnsi="宋体" w:eastAsia="宋体"/>
                <w:b/>
                <w:bCs/>
                <w:kern w:val="2"/>
                <w:sz w:val="24"/>
              </w:rPr>
            </w:pPr>
            <w:r>
              <w:rPr>
                <w:rFonts w:hint="eastAsia" w:ascii="宋体" w:hAnsi="宋体" w:eastAsia="宋体"/>
                <w:b/>
                <w:bCs/>
                <w:kern w:val="2"/>
                <w:sz w:val="24"/>
              </w:rPr>
              <w:t>等级</w:t>
            </w:r>
          </w:p>
        </w:tc>
        <w:tc>
          <w:tcPr>
            <w:tcW w:w="1967" w:type="dxa"/>
            <w:tcBorders>
              <w:top w:val="single" w:color="auto" w:sz="4" w:space="0"/>
              <w:left w:val="single" w:color="auto" w:sz="4" w:space="0"/>
              <w:bottom w:val="single" w:color="auto" w:sz="4" w:space="0"/>
              <w:right w:val="single" w:color="auto" w:sz="4" w:space="0"/>
            </w:tcBorders>
            <w:vAlign w:val="center"/>
          </w:tcPr>
          <w:p>
            <w:pPr>
              <w:pStyle w:val="2"/>
              <w:spacing w:line="240" w:lineRule="auto"/>
              <w:ind w:firstLine="0" w:firstLineChars="0"/>
              <w:jc w:val="center"/>
              <w:rPr>
                <w:rFonts w:ascii="宋体" w:hAnsi="宋体" w:eastAsia="宋体"/>
                <w:kern w:val="2"/>
                <w:sz w:val="24"/>
              </w:rPr>
            </w:pPr>
            <w:r>
              <w:rPr>
                <w:rFonts w:hint="eastAsia" w:ascii="宋体" w:hAnsi="宋体" w:eastAsia="宋体"/>
                <w:kern w:val="2"/>
                <w:sz w:val="24"/>
              </w:rPr>
              <w:t>三级</w:t>
            </w:r>
          </w:p>
        </w:tc>
        <w:tc>
          <w:tcPr>
            <w:tcW w:w="1276" w:type="dxa"/>
            <w:tcBorders>
              <w:top w:val="single" w:color="auto" w:sz="4" w:space="0"/>
              <w:left w:val="single" w:color="auto" w:sz="4" w:space="0"/>
              <w:bottom w:val="single" w:color="auto" w:sz="4" w:space="0"/>
              <w:right w:val="single" w:color="auto" w:sz="4" w:space="0"/>
            </w:tcBorders>
            <w:vAlign w:val="center"/>
          </w:tcPr>
          <w:p>
            <w:pPr>
              <w:pStyle w:val="2"/>
              <w:spacing w:line="240" w:lineRule="auto"/>
              <w:ind w:firstLine="0" w:firstLineChars="0"/>
              <w:jc w:val="center"/>
              <w:rPr>
                <w:rFonts w:ascii="宋体" w:hAnsi="宋体" w:eastAsia="宋体"/>
                <w:b/>
                <w:bCs/>
                <w:kern w:val="2"/>
                <w:sz w:val="24"/>
              </w:rPr>
            </w:pPr>
            <w:r>
              <w:rPr>
                <w:rFonts w:hint="eastAsia" w:ascii="宋体" w:hAnsi="宋体" w:eastAsia="宋体"/>
                <w:b/>
                <w:bCs/>
                <w:kern w:val="2"/>
                <w:sz w:val="24"/>
              </w:rPr>
              <w:t>单价</w:t>
            </w:r>
          </w:p>
        </w:tc>
        <w:tc>
          <w:tcPr>
            <w:tcW w:w="3827" w:type="dxa"/>
            <w:tcBorders>
              <w:top w:val="single" w:color="auto" w:sz="4" w:space="0"/>
              <w:left w:val="single" w:color="auto" w:sz="4" w:space="0"/>
              <w:bottom w:val="single" w:color="auto" w:sz="4" w:space="0"/>
              <w:right w:val="single" w:color="auto" w:sz="4" w:space="0"/>
            </w:tcBorders>
            <w:vAlign w:val="center"/>
          </w:tcPr>
          <w:p>
            <w:pPr>
              <w:pStyle w:val="2"/>
              <w:spacing w:line="240" w:lineRule="auto"/>
              <w:ind w:firstLine="0" w:firstLineChars="0"/>
              <w:jc w:val="center"/>
              <w:rPr>
                <w:rFonts w:hint="default" w:ascii="宋体" w:hAnsi="宋体" w:eastAsia="宋体"/>
                <w:kern w:val="2"/>
                <w:sz w:val="24"/>
                <w:lang w:val="en-US" w:eastAsia="zh-CN"/>
              </w:rPr>
            </w:pPr>
            <w:r>
              <w:rPr>
                <w:rFonts w:hint="eastAsia" w:ascii="宋体" w:hAnsi="宋体" w:eastAsia="宋体"/>
                <w:kern w:val="2"/>
                <w:sz w:val="24"/>
                <w:lang w:val="en-US" w:eastAsia="zh-CN"/>
              </w:rPr>
              <w:t>元/吨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1" w:hRule="atLeast"/>
          <w:jc w:val="center"/>
        </w:trPr>
        <w:tc>
          <w:tcPr>
            <w:tcW w:w="1448" w:type="dxa"/>
            <w:tcBorders>
              <w:top w:val="single" w:color="auto" w:sz="4" w:space="0"/>
              <w:left w:val="single" w:color="auto" w:sz="4" w:space="0"/>
              <w:bottom w:val="single" w:color="auto" w:sz="4" w:space="0"/>
              <w:right w:val="single" w:color="auto" w:sz="4" w:space="0"/>
            </w:tcBorders>
            <w:vAlign w:val="center"/>
          </w:tcPr>
          <w:p>
            <w:pPr>
              <w:pStyle w:val="2"/>
              <w:spacing w:line="240" w:lineRule="auto"/>
              <w:ind w:firstLine="0" w:firstLineChars="0"/>
              <w:jc w:val="center"/>
              <w:rPr>
                <w:rFonts w:ascii="宋体" w:hAnsi="宋体" w:eastAsia="宋体"/>
                <w:b/>
                <w:bCs/>
                <w:kern w:val="2"/>
                <w:sz w:val="24"/>
              </w:rPr>
            </w:pPr>
            <w:r>
              <w:rPr>
                <w:rFonts w:hint="eastAsia" w:ascii="宋体" w:hAnsi="宋体" w:eastAsia="宋体"/>
                <w:b/>
                <w:bCs/>
                <w:kern w:val="2"/>
                <w:sz w:val="24"/>
              </w:rPr>
              <w:t>产地</w:t>
            </w:r>
          </w:p>
        </w:tc>
        <w:tc>
          <w:tcPr>
            <w:tcW w:w="1967" w:type="dxa"/>
            <w:tcBorders>
              <w:top w:val="single" w:color="auto" w:sz="4" w:space="0"/>
              <w:left w:val="single" w:color="auto" w:sz="4" w:space="0"/>
              <w:bottom w:val="single" w:color="auto" w:sz="4" w:space="0"/>
              <w:right w:val="single" w:color="auto" w:sz="4" w:space="0"/>
            </w:tcBorders>
            <w:vAlign w:val="center"/>
          </w:tcPr>
          <w:p>
            <w:pPr>
              <w:pStyle w:val="2"/>
              <w:spacing w:line="240" w:lineRule="auto"/>
              <w:ind w:firstLine="0" w:firstLineChars="0"/>
              <w:jc w:val="center"/>
              <w:rPr>
                <w:rFonts w:ascii="宋体" w:hAnsi="宋体" w:eastAsia="宋体"/>
                <w:kern w:val="2"/>
                <w:sz w:val="24"/>
              </w:rPr>
            </w:pPr>
            <w:r>
              <w:rPr>
                <w:rFonts w:hint="eastAsia" w:ascii="宋体" w:hAnsi="宋体" w:eastAsia="宋体"/>
                <w:kern w:val="2"/>
                <w:sz w:val="24"/>
              </w:rPr>
              <w:t>广东、江西等</w:t>
            </w:r>
          </w:p>
        </w:tc>
        <w:tc>
          <w:tcPr>
            <w:tcW w:w="1276" w:type="dxa"/>
            <w:tcBorders>
              <w:top w:val="single" w:color="auto" w:sz="4" w:space="0"/>
              <w:left w:val="single" w:color="auto" w:sz="4" w:space="0"/>
              <w:bottom w:val="single" w:color="auto" w:sz="4" w:space="0"/>
              <w:right w:val="single" w:color="auto" w:sz="4" w:space="0"/>
            </w:tcBorders>
            <w:vAlign w:val="center"/>
          </w:tcPr>
          <w:p>
            <w:pPr>
              <w:pStyle w:val="2"/>
              <w:spacing w:line="240" w:lineRule="auto"/>
              <w:ind w:firstLine="0" w:firstLineChars="0"/>
              <w:jc w:val="center"/>
              <w:rPr>
                <w:rFonts w:ascii="宋体" w:hAnsi="宋体" w:eastAsia="宋体"/>
                <w:b/>
                <w:bCs/>
                <w:kern w:val="2"/>
                <w:sz w:val="24"/>
              </w:rPr>
            </w:pPr>
            <w:r>
              <w:rPr>
                <w:rFonts w:hint="eastAsia" w:ascii="宋体" w:hAnsi="宋体" w:eastAsia="宋体"/>
                <w:b/>
                <w:bCs/>
                <w:kern w:val="2"/>
                <w:sz w:val="24"/>
              </w:rPr>
              <w:t>总金额</w:t>
            </w:r>
          </w:p>
        </w:tc>
        <w:tc>
          <w:tcPr>
            <w:tcW w:w="3827" w:type="dxa"/>
            <w:tcBorders>
              <w:top w:val="single" w:color="auto" w:sz="4" w:space="0"/>
              <w:left w:val="single" w:color="auto" w:sz="4" w:space="0"/>
              <w:bottom w:val="single" w:color="auto" w:sz="4" w:space="0"/>
              <w:right w:val="single" w:color="auto" w:sz="4" w:space="0"/>
            </w:tcBorders>
            <w:vAlign w:val="center"/>
          </w:tcPr>
          <w:p>
            <w:pPr>
              <w:pStyle w:val="2"/>
              <w:spacing w:line="240" w:lineRule="auto"/>
              <w:ind w:firstLine="0" w:firstLineChars="0"/>
              <w:jc w:val="center"/>
              <w:rPr>
                <w:rFonts w:hint="eastAsia" w:ascii="宋体" w:hAnsi="宋体" w:eastAsia="宋体"/>
                <w:kern w:val="2"/>
                <w:sz w:val="24"/>
                <w:lang w:val="en-US" w:eastAsia="zh-CN"/>
              </w:rPr>
            </w:pPr>
            <w:r>
              <w:rPr>
                <w:rFonts w:hint="eastAsia" w:ascii="宋体" w:hAnsi="宋体" w:eastAsia="宋体"/>
                <w:kern w:val="2"/>
                <w:sz w:val="24"/>
                <w:lang w:val="en-US" w:eastAsia="zh-CN"/>
              </w:rPr>
              <w:t>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4" w:hRule="atLeast"/>
          <w:jc w:val="center"/>
        </w:trPr>
        <w:tc>
          <w:tcPr>
            <w:tcW w:w="1448" w:type="dxa"/>
            <w:tcBorders>
              <w:top w:val="single" w:color="auto" w:sz="4" w:space="0"/>
              <w:left w:val="single" w:color="auto" w:sz="4" w:space="0"/>
              <w:bottom w:val="single" w:color="auto" w:sz="4" w:space="0"/>
              <w:right w:val="single" w:color="auto" w:sz="4" w:space="0"/>
            </w:tcBorders>
            <w:vAlign w:val="center"/>
          </w:tcPr>
          <w:p>
            <w:pPr>
              <w:pStyle w:val="2"/>
              <w:spacing w:line="240" w:lineRule="auto"/>
              <w:ind w:firstLine="0" w:firstLineChars="0"/>
              <w:jc w:val="center"/>
              <w:rPr>
                <w:rFonts w:ascii="宋体" w:hAnsi="宋体" w:eastAsia="宋体"/>
                <w:b/>
                <w:bCs/>
                <w:kern w:val="2"/>
                <w:sz w:val="24"/>
              </w:rPr>
            </w:pPr>
            <w:r>
              <w:rPr>
                <w:rFonts w:hint="eastAsia" w:ascii="宋体" w:hAnsi="宋体" w:eastAsia="宋体"/>
                <w:b/>
                <w:bCs/>
                <w:kern w:val="2"/>
                <w:sz w:val="24"/>
              </w:rPr>
              <w:t>交货方式</w:t>
            </w:r>
          </w:p>
        </w:tc>
        <w:tc>
          <w:tcPr>
            <w:tcW w:w="7070" w:type="dxa"/>
            <w:gridSpan w:val="3"/>
            <w:tcBorders>
              <w:top w:val="single" w:color="auto" w:sz="4" w:space="0"/>
              <w:left w:val="single" w:color="auto" w:sz="4" w:space="0"/>
              <w:bottom w:val="single" w:color="auto" w:sz="4" w:space="0"/>
              <w:right w:val="single" w:color="auto" w:sz="4" w:space="0"/>
            </w:tcBorders>
            <w:vAlign w:val="center"/>
          </w:tcPr>
          <w:p>
            <w:pPr>
              <w:pStyle w:val="2"/>
              <w:spacing w:line="240" w:lineRule="auto"/>
              <w:ind w:firstLine="0" w:firstLineChars="0"/>
              <w:jc w:val="center"/>
              <w:rPr>
                <w:rFonts w:ascii="宋体" w:hAnsi="宋体" w:eastAsia="宋体"/>
                <w:kern w:val="2"/>
                <w:sz w:val="24"/>
              </w:rPr>
            </w:pPr>
            <w:r>
              <w:rPr>
                <w:rFonts w:hint="eastAsia" w:ascii="宋体" w:hAnsi="宋体" w:eastAsia="宋体"/>
                <w:kern w:val="2"/>
                <w:sz w:val="24"/>
              </w:rPr>
              <w:t>仓</w:t>
            </w:r>
            <w:r>
              <w:rPr>
                <w:rFonts w:hint="eastAsia" w:ascii="宋体" w:hAnsi="宋体" w:eastAsia="宋体"/>
                <w:kern w:val="2"/>
                <w:sz w:val="24"/>
                <w:lang w:eastAsia="zh-CN"/>
              </w:rPr>
              <w:t>内</w:t>
            </w:r>
            <w:r>
              <w:rPr>
                <w:rFonts w:hint="eastAsia" w:ascii="宋体" w:hAnsi="宋体" w:eastAsia="宋体"/>
                <w:kern w:val="2"/>
                <w:sz w:val="24"/>
              </w:rPr>
              <w:t>交货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4" w:hRule="atLeast"/>
          <w:jc w:val="center"/>
        </w:trPr>
        <w:tc>
          <w:tcPr>
            <w:tcW w:w="1448" w:type="dxa"/>
            <w:tcBorders>
              <w:top w:val="single" w:color="auto" w:sz="4" w:space="0"/>
              <w:left w:val="single" w:color="auto" w:sz="4" w:space="0"/>
              <w:bottom w:val="single" w:color="auto" w:sz="4" w:space="0"/>
              <w:right w:val="single" w:color="auto" w:sz="4" w:space="0"/>
            </w:tcBorders>
            <w:vAlign w:val="center"/>
          </w:tcPr>
          <w:p>
            <w:pPr>
              <w:pStyle w:val="2"/>
              <w:spacing w:line="240" w:lineRule="auto"/>
              <w:ind w:firstLine="0" w:firstLineChars="0"/>
              <w:jc w:val="center"/>
              <w:rPr>
                <w:rFonts w:ascii="宋体" w:hAnsi="宋体" w:eastAsia="宋体"/>
                <w:b/>
                <w:bCs/>
                <w:kern w:val="2"/>
                <w:sz w:val="24"/>
              </w:rPr>
            </w:pPr>
            <w:r>
              <w:rPr>
                <w:rFonts w:hint="eastAsia" w:ascii="宋体" w:hAnsi="宋体" w:eastAsia="宋体"/>
                <w:b/>
                <w:bCs/>
                <w:kern w:val="2"/>
                <w:sz w:val="24"/>
              </w:rPr>
              <w:t>交货期限</w:t>
            </w:r>
          </w:p>
        </w:tc>
        <w:tc>
          <w:tcPr>
            <w:tcW w:w="7070" w:type="dxa"/>
            <w:gridSpan w:val="3"/>
            <w:tcBorders>
              <w:top w:val="single" w:color="auto" w:sz="4" w:space="0"/>
              <w:left w:val="single" w:color="auto" w:sz="4" w:space="0"/>
              <w:bottom w:val="single" w:color="auto" w:sz="4" w:space="0"/>
              <w:right w:val="single" w:color="auto" w:sz="4" w:space="0"/>
            </w:tcBorders>
            <w:vAlign w:val="center"/>
          </w:tcPr>
          <w:p>
            <w:pPr>
              <w:pStyle w:val="2"/>
              <w:spacing w:line="240" w:lineRule="auto"/>
              <w:ind w:firstLine="0" w:firstLineChars="0"/>
              <w:jc w:val="center"/>
              <w:rPr>
                <w:rFonts w:ascii="宋体" w:hAnsi="宋体" w:eastAsia="宋体"/>
                <w:kern w:val="2"/>
                <w:sz w:val="24"/>
              </w:rPr>
            </w:pPr>
            <w:r>
              <w:rPr>
                <w:rFonts w:hint="eastAsia" w:ascii="宋体" w:hAnsi="宋体" w:eastAsia="宋体"/>
                <w:kern w:val="2"/>
                <w:sz w:val="24"/>
              </w:rPr>
              <w:t>年</w:t>
            </w:r>
            <w:r>
              <w:rPr>
                <w:rFonts w:hint="eastAsia" w:ascii="宋体" w:hAnsi="宋体" w:eastAsia="宋体"/>
                <w:kern w:val="2"/>
                <w:sz w:val="24"/>
                <w:lang w:val="en-US" w:eastAsia="zh-CN"/>
              </w:rPr>
              <w:t xml:space="preserve">   </w:t>
            </w:r>
            <w:r>
              <w:rPr>
                <w:rFonts w:hint="eastAsia" w:ascii="宋体" w:hAnsi="宋体" w:eastAsia="宋体"/>
                <w:kern w:val="2"/>
                <w:sz w:val="24"/>
              </w:rPr>
              <w:t>月</w:t>
            </w:r>
            <w:r>
              <w:rPr>
                <w:rFonts w:hint="eastAsia" w:ascii="宋体" w:hAnsi="宋体" w:eastAsia="宋体"/>
                <w:kern w:val="2"/>
                <w:sz w:val="24"/>
                <w:lang w:val="en-US" w:eastAsia="zh-CN"/>
              </w:rPr>
              <w:t xml:space="preserve">  </w:t>
            </w:r>
            <w:r>
              <w:rPr>
                <w:rFonts w:hint="eastAsia" w:ascii="宋体" w:hAnsi="宋体" w:eastAsia="宋体"/>
                <w:kern w:val="2"/>
                <w:sz w:val="24"/>
              </w:rPr>
              <w:t>日至</w:t>
            </w:r>
            <w:r>
              <w:rPr>
                <w:rFonts w:hint="eastAsia" w:ascii="宋体" w:hAnsi="宋体" w:eastAsia="宋体"/>
                <w:kern w:val="2"/>
                <w:sz w:val="24"/>
                <w:lang w:val="en-US" w:eastAsia="zh-CN"/>
              </w:rPr>
              <w:t xml:space="preserve">   </w:t>
            </w:r>
            <w:r>
              <w:rPr>
                <w:rFonts w:hint="eastAsia" w:ascii="宋体" w:hAnsi="宋体" w:eastAsia="宋体"/>
                <w:kern w:val="2"/>
                <w:sz w:val="24"/>
              </w:rPr>
              <w:t>年</w:t>
            </w:r>
            <w:r>
              <w:rPr>
                <w:rFonts w:hint="eastAsia" w:ascii="宋体" w:hAnsi="宋体" w:eastAsia="宋体"/>
                <w:kern w:val="2"/>
                <w:sz w:val="24"/>
                <w:lang w:val="en-US" w:eastAsia="zh-CN"/>
              </w:rPr>
              <w:t xml:space="preserve">   </w:t>
            </w:r>
            <w:r>
              <w:rPr>
                <w:rFonts w:hint="eastAsia" w:ascii="宋体" w:hAnsi="宋体" w:eastAsia="宋体"/>
                <w:kern w:val="2"/>
                <w:sz w:val="24"/>
              </w:rPr>
              <w:t>月</w:t>
            </w:r>
            <w:r>
              <w:rPr>
                <w:rFonts w:hint="eastAsia" w:ascii="宋体" w:hAnsi="宋体" w:eastAsia="宋体"/>
                <w:kern w:val="2"/>
                <w:sz w:val="24"/>
                <w:lang w:val="en-US" w:eastAsia="zh-CN"/>
              </w:rPr>
              <w:t xml:space="preserve">  </w:t>
            </w:r>
            <w:r>
              <w:rPr>
                <w:rFonts w:hint="eastAsia" w:ascii="宋体" w:hAnsi="宋体" w:eastAsia="宋体"/>
                <w:kern w:val="2"/>
                <w:sz w:val="24"/>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1" w:hRule="atLeast"/>
          <w:jc w:val="center"/>
        </w:trPr>
        <w:tc>
          <w:tcPr>
            <w:tcW w:w="1448" w:type="dxa"/>
            <w:tcBorders>
              <w:top w:val="single" w:color="auto" w:sz="4" w:space="0"/>
              <w:left w:val="single" w:color="auto" w:sz="4" w:space="0"/>
              <w:bottom w:val="single" w:color="auto" w:sz="4" w:space="0"/>
              <w:right w:val="single" w:color="auto" w:sz="4" w:space="0"/>
            </w:tcBorders>
            <w:vAlign w:val="center"/>
          </w:tcPr>
          <w:p>
            <w:pPr>
              <w:pStyle w:val="2"/>
              <w:spacing w:line="240" w:lineRule="auto"/>
              <w:ind w:firstLine="0" w:firstLineChars="0"/>
              <w:jc w:val="center"/>
              <w:rPr>
                <w:rFonts w:ascii="宋体" w:hAnsi="宋体" w:eastAsia="宋体"/>
                <w:b/>
                <w:bCs/>
                <w:kern w:val="2"/>
                <w:sz w:val="24"/>
              </w:rPr>
            </w:pPr>
            <w:r>
              <w:rPr>
                <w:rFonts w:hint="eastAsia" w:ascii="宋体" w:hAnsi="宋体" w:eastAsia="宋体"/>
                <w:b/>
                <w:bCs/>
                <w:kern w:val="2"/>
                <w:sz w:val="24"/>
              </w:rPr>
              <w:t>存放地点</w:t>
            </w:r>
          </w:p>
        </w:tc>
        <w:tc>
          <w:tcPr>
            <w:tcW w:w="7070" w:type="dxa"/>
            <w:gridSpan w:val="3"/>
            <w:tcBorders>
              <w:top w:val="single" w:color="auto" w:sz="4" w:space="0"/>
              <w:left w:val="single" w:color="auto" w:sz="4" w:space="0"/>
              <w:bottom w:val="single" w:color="auto" w:sz="4" w:space="0"/>
              <w:right w:val="single" w:color="auto" w:sz="4" w:space="0"/>
            </w:tcBorders>
            <w:vAlign w:val="center"/>
          </w:tcPr>
          <w:p>
            <w:pPr>
              <w:pStyle w:val="2"/>
              <w:spacing w:line="240" w:lineRule="auto"/>
              <w:ind w:firstLine="0" w:firstLineChars="0"/>
              <w:jc w:val="center"/>
              <w:rPr>
                <w:rFonts w:ascii="宋体" w:hAnsi="宋体" w:eastAsia="宋体"/>
                <w:kern w:val="2"/>
                <w:sz w:val="24"/>
              </w:rPr>
            </w:pPr>
            <w:r>
              <w:rPr>
                <w:rFonts w:hint="eastAsia" w:ascii="宋体" w:hAnsi="宋体" w:eastAsia="宋体"/>
                <w:kern w:val="2"/>
                <w:sz w:val="24"/>
                <w:lang w:eastAsia="zh-CN"/>
              </w:rPr>
              <w:t>兴宁市粮食</w:t>
            </w:r>
            <w:r>
              <w:rPr>
                <w:rFonts w:hint="eastAsia" w:ascii="宋体" w:hAnsi="宋体" w:eastAsia="宋体"/>
                <w:kern w:val="2"/>
                <w:sz w:val="24"/>
              </w:rPr>
              <w:t>中心库0P2（205）、0P3（304-306）、0P4（401-404）、0P5（504-505）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88" w:hRule="atLeast"/>
          <w:jc w:val="center"/>
        </w:trPr>
        <w:tc>
          <w:tcPr>
            <w:tcW w:w="1448" w:type="dxa"/>
            <w:tcBorders>
              <w:top w:val="single" w:color="auto" w:sz="4" w:space="0"/>
              <w:left w:val="single" w:color="auto" w:sz="4" w:space="0"/>
              <w:bottom w:val="single" w:color="auto" w:sz="4" w:space="0"/>
              <w:right w:val="single" w:color="auto" w:sz="4" w:space="0"/>
            </w:tcBorders>
            <w:vAlign w:val="center"/>
          </w:tcPr>
          <w:p>
            <w:pPr>
              <w:pStyle w:val="2"/>
              <w:spacing w:line="240" w:lineRule="auto"/>
              <w:ind w:firstLine="0" w:firstLineChars="0"/>
              <w:jc w:val="center"/>
              <w:rPr>
                <w:rFonts w:ascii="宋体" w:hAnsi="宋体" w:eastAsia="宋体"/>
                <w:b/>
                <w:bCs/>
                <w:kern w:val="2"/>
                <w:sz w:val="24"/>
              </w:rPr>
            </w:pPr>
            <w:r>
              <w:rPr>
                <w:rFonts w:hint="eastAsia" w:ascii="宋体" w:hAnsi="宋体" w:eastAsia="宋体"/>
                <w:b/>
                <w:bCs/>
                <w:kern w:val="2"/>
                <w:sz w:val="24"/>
              </w:rPr>
              <w:t>包装要求</w:t>
            </w:r>
          </w:p>
        </w:tc>
        <w:tc>
          <w:tcPr>
            <w:tcW w:w="7070" w:type="dxa"/>
            <w:gridSpan w:val="3"/>
            <w:tcBorders>
              <w:top w:val="single" w:color="auto" w:sz="4" w:space="0"/>
              <w:left w:val="single" w:color="auto" w:sz="4" w:space="0"/>
              <w:bottom w:val="single" w:color="auto" w:sz="4" w:space="0"/>
              <w:right w:val="single" w:color="auto" w:sz="4" w:space="0"/>
            </w:tcBorders>
            <w:vAlign w:val="center"/>
          </w:tcPr>
          <w:p>
            <w:pPr>
              <w:pStyle w:val="2"/>
              <w:spacing w:line="240" w:lineRule="auto"/>
              <w:ind w:firstLine="0" w:firstLineChars="0"/>
              <w:jc w:val="center"/>
              <w:rPr>
                <w:rFonts w:ascii="宋体" w:hAnsi="宋体" w:eastAsia="宋体"/>
                <w:kern w:val="2"/>
                <w:sz w:val="24"/>
              </w:rPr>
            </w:pPr>
            <w:r>
              <w:rPr>
                <w:rFonts w:hint="eastAsia" w:ascii="宋体" w:hAnsi="宋体" w:eastAsia="宋体"/>
                <w:kern w:val="2"/>
                <w:sz w:val="24"/>
              </w:rPr>
              <w:t>散装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273" w:hRule="atLeast"/>
          <w:jc w:val="center"/>
        </w:trPr>
        <w:tc>
          <w:tcPr>
            <w:tcW w:w="1448" w:type="dxa"/>
            <w:tcBorders>
              <w:top w:val="single" w:color="auto" w:sz="4" w:space="0"/>
              <w:left w:val="single" w:color="auto" w:sz="4" w:space="0"/>
              <w:bottom w:val="single" w:color="auto" w:sz="4" w:space="0"/>
              <w:right w:val="single" w:color="auto" w:sz="4" w:space="0"/>
            </w:tcBorders>
            <w:vAlign w:val="center"/>
          </w:tcPr>
          <w:p>
            <w:pPr>
              <w:pStyle w:val="2"/>
              <w:spacing w:line="240" w:lineRule="auto"/>
              <w:ind w:firstLine="0" w:firstLineChars="0"/>
              <w:rPr>
                <w:rFonts w:ascii="宋体" w:hAnsi="宋体" w:eastAsia="宋体"/>
                <w:b/>
                <w:bCs/>
                <w:kern w:val="2"/>
                <w:sz w:val="24"/>
              </w:rPr>
            </w:pPr>
            <w:r>
              <w:rPr>
                <w:rFonts w:hint="eastAsia" w:ascii="宋体" w:hAnsi="宋体" w:eastAsia="宋体"/>
                <w:b/>
                <w:bCs/>
                <w:kern w:val="2"/>
                <w:sz w:val="24"/>
              </w:rPr>
              <w:t>质量标准</w:t>
            </w:r>
          </w:p>
        </w:tc>
        <w:tc>
          <w:tcPr>
            <w:tcW w:w="7070" w:type="dxa"/>
            <w:gridSpan w:val="3"/>
            <w:tcBorders>
              <w:top w:val="single" w:color="auto" w:sz="4" w:space="0"/>
              <w:left w:val="single" w:color="auto" w:sz="4" w:space="0"/>
              <w:bottom w:val="single" w:color="auto" w:sz="4" w:space="0"/>
              <w:right w:val="single" w:color="auto" w:sz="4" w:space="0"/>
            </w:tcBorders>
            <w:vAlign w:val="center"/>
          </w:tcPr>
          <w:p>
            <w:pPr>
              <w:pStyle w:val="2"/>
              <w:spacing w:line="240" w:lineRule="auto"/>
              <w:ind w:firstLine="480" w:firstLineChars="200"/>
              <w:rPr>
                <w:rFonts w:ascii="宋体" w:hAnsi="宋体" w:eastAsia="宋体"/>
                <w:kern w:val="2"/>
                <w:sz w:val="24"/>
              </w:rPr>
            </w:pPr>
            <w:r>
              <w:rPr>
                <w:rFonts w:hint="eastAsia" w:ascii="宋体" w:hAnsi="宋体" w:eastAsia="宋体"/>
                <w:kern w:val="2"/>
                <w:sz w:val="24"/>
              </w:rPr>
              <w:t>执行GB1350-2009A早籼稻谷三级以上标准。出糙率≧75.0％，整精米率≧44.0％，杂质含量≦1.0％，水分含量≦13.</w:t>
            </w:r>
            <w:r>
              <w:rPr>
                <w:rFonts w:hint="eastAsia" w:ascii="宋体" w:hAnsi="宋体" w:eastAsia="宋体"/>
                <w:kern w:val="2"/>
                <w:sz w:val="24"/>
                <w:lang w:val="en-US" w:eastAsia="zh-CN"/>
              </w:rPr>
              <w:t>5</w:t>
            </w:r>
            <w:r>
              <w:rPr>
                <w:rFonts w:hint="eastAsia" w:ascii="宋体" w:hAnsi="宋体" w:eastAsia="宋体"/>
                <w:kern w:val="2"/>
                <w:sz w:val="24"/>
              </w:rPr>
              <w:t>％，黄粒米含量≦1.0％，谷外糙米含量≦2.0％，互混率≦5.0％，色泽气味正常，脂肪酸值（KOH/干基）/(mg/100g)≦</w:t>
            </w:r>
            <w:r>
              <w:rPr>
                <w:rFonts w:hint="eastAsia" w:ascii="宋体" w:hAnsi="宋体" w:eastAsia="宋体"/>
                <w:kern w:val="2"/>
                <w:sz w:val="24"/>
                <w:lang w:val="en-US" w:eastAsia="zh-CN"/>
              </w:rPr>
              <w:t>20.0</w:t>
            </w:r>
            <w:r>
              <w:rPr>
                <w:rFonts w:hint="eastAsia" w:ascii="宋体" w:hAnsi="宋体" w:eastAsia="宋体"/>
                <w:kern w:val="2"/>
                <w:sz w:val="24"/>
              </w:rPr>
              <w:t>％,</w:t>
            </w:r>
            <w:r>
              <w:rPr>
                <w:rFonts w:hint="eastAsia"/>
              </w:rPr>
              <w:t xml:space="preserve"> </w:t>
            </w:r>
            <w:r>
              <w:rPr>
                <w:rFonts w:hint="eastAsia" w:ascii="宋体" w:hAnsi="宋体" w:eastAsia="宋体"/>
                <w:kern w:val="2"/>
                <w:sz w:val="24"/>
              </w:rPr>
              <w:t>镉含量≤0.2㎎/㎏。</w:t>
            </w:r>
          </w:p>
        </w:tc>
      </w:tr>
    </w:tbl>
    <w:p>
      <w:pPr>
        <w:autoSpaceDE w:val="0"/>
        <w:autoSpaceDN w:val="0"/>
        <w:adjustRightInd w:val="0"/>
        <w:snapToGrid w:val="0"/>
        <w:spacing w:line="380" w:lineRule="atLeast"/>
        <w:ind w:firstLine="482" w:firstLineChars="200"/>
        <w:rPr>
          <w:rFonts w:ascii="宋体" w:hAnsi="宋体"/>
          <w:kern w:val="0"/>
          <w:sz w:val="24"/>
        </w:rPr>
      </w:pPr>
      <w:r>
        <w:rPr>
          <w:rFonts w:hint="eastAsia" w:ascii="宋体" w:hAnsi="宋体"/>
          <w:b/>
          <w:bCs/>
          <w:kern w:val="0"/>
          <w:sz w:val="24"/>
        </w:rPr>
        <w:t>二、产地要求：</w:t>
      </w:r>
      <w:r>
        <w:rPr>
          <w:rFonts w:hint="eastAsia" w:ascii="宋体" w:hAnsi="宋体" w:eastAsia="宋体"/>
          <w:kern w:val="2"/>
          <w:sz w:val="24"/>
        </w:rPr>
        <w:t>广东、江西等</w:t>
      </w:r>
      <w:r>
        <w:rPr>
          <w:rFonts w:hint="eastAsia" w:ascii="宋体" w:hAnsi="宋体"/>
          <w:kern w:val="0"/>
          <w:sz w:val="24"/>
        </w:rPr>
        <w:t>。</w:t>
      </w:r>
    </w:p>
    <w:p>
      <w:pPr>
        <w:autoSpaceDE w:val="0"/>
        <w:autoSpaceDN w:val="0"/>
        <w:adjustRightInd w:val="0"/>
        <w:snapToGrid w:val="0"/>
        <w:spacing w:line="380" w:lineRule="atLeast"/>
        <w:ind w:left="0" w:leftChars="0" w:firstLine="422" w:firstLineChars="175"/>
        <w:rPr>
          <w:rFonts w:hint="eastAsia" w:ascii="宋体" w:hAnsi="宋体" w:eastAsia="宋体"/>
          <w:color w:val="auto"/>
          <w:sz w:val="24"/>
          <w:lang w:eastAsia="zh-CN"/>
        </w:rPr>
      </w:pPr>
      <w:r>
        <w:rPr>
          <w:rFonts w:hint="eastAsia" w:ascii="宋体" w:hAnsi="宋体"/>
          <w:b/>
          <w:bCs/>
          <w:color w:val="auto"/>
          <w:sz w:val="24"/>
        </w:rPr>
        <w:t>三、验收交货方式</w:t>
      </w:r>
      <w:r>
        <w:rPr>
          <w:rFonts w:hint="eastAsia" w:ascii="宋体" w:hAnsi="宋体"/>
          <w:b/>
          <w:bCs/>
          <w:color w:val="auto"/>
          <w:sz w:val="24"/>
          <w:lang w:eastAsia="zh-CN"/>
        </w:rPr>
        <w:t>：</w:t>
      </w:r>
      <w:r>
        <w:rPr>
          <w:rFonts w:hint="eastAsia" w:ascii="宋体" w:hAnsi="宋体"/>
          <w:color w:val="auto"/>
          <w:sz w:val="24"/>
        </w:rPr>
        <w:t>买方按国家规定的粮食检验办法和操作规程进行入库初检，初检结果不作为验收依据，待全部货物入库后由买方委托有资质的粮食检验机构进行检验合格后，双方签署《实物交割验收单》，验收费用由买方承担。但如经第三方检验不符合质量标准，买方有权不予接收，入库粮食由卖方自行处理，并承担所发生的一切费用。卖方需向买方提供《粮食质量安全信用承诺书》</w:t>
      </w:r>
      <w:r>
        <w:rPr>
          <w:rFonts w:hint="eastAsia" w:ascii="宋体" w:hAnsi="宋体"/>
          <w:color w:val="auto"/>
          <w:sz w:val="24"/>
          <w:lang w:eastAsia="zh-CN"/>
        </w:rPr>
        <w:t>。</w:t>
      </w:r>
    </w:p>
    <w:p>
      <w:pPr>
        <w:autoSpaceDE w:val="0"/>
        <w:autoSpaceDN w:val="0"/>
        <w:adjustRightInd w:val="0"/>
        <w:snapToGrid w:val="0"/>
        <w:spacing w:line="380" w:lineRule="atLeast"/>
        <w:ind w:firstLine="482" w:firstLineChars="200"/>
        <w:rPr>
          <w:rFonts w:hint="eastAsia" w:ascii="宋体" w:hAnsi="宋体"/>
          <w:sz w:val="24"/>
        </w:rPr>
      </w:pPr>
      <w:r>
        <w:rPr>
          <w:rFonts w:hint="eastAsia" w:ascii="宋体" w:hAnsi="宋体"/>
          <w:b/>
          <w:bCs/>
          <w:sz w:val="24"/>
        </w:rPr>
        <w:t>四、费用承担：</w:t>
      </w:r>
      <w:r>
        <w:rPr>
          <w:rFonts w:hint="eastAsia" w:ascii="宋体" w:hAnsi="宋体"/>
          <w:sz w:val="24"/>
        </w:rPr>
        <w:t>卖方承担交货前的一切费用，包括仓内堆好、交货短途费用、过磅费及验质费等，并承担入库后的粮食整理及其他费用20元/吨</w:t>
      </w:r>
      <w:r>
        <w:rPr>
          <w:rFonts w:hint="eastAsia" w:ascii="宋体" w:hAnsi="宋体"/>
          <w:sz w:val="24"/>
          <w:lang w:eastAsia="zh-CN"/>
        </w:rPr>
        <w:t>，</w:t>
      </w:r>
      <w:r>
        <w:rPr>
          <w:rFonts w:hint="eastAsia" w:ascii="宋体" w:hAnsi="宋体"/>
          <w:sz w:val="24"/>
        </w:rPr>
        <w:t>买方不承担任何费用。入仓时由卖方与有资质的第三方劳务装卸服务公司签订搬运安全责任协议书。</w:t>
      </w:r>
    </w:p>
    <w:p>
      <w:pPr>
        <w:autoSpaceDE w:val="0"/>
        <w:autoSpaceDN w:val="0"/>
        <w:adjustRightInd w:val="0"/>
        <w:snapToGrid w:val="0"/>
        <w:spacing w:line="380" w:lineRule="atLeast"/>
        <w:ind w:firstLine="482" w:firstLineChars="200"/>
        <w:rPr>
          <w:rFonts w:ascii="宋体" w:hAnsi="宋体"/>
          <w:kern w:val="0"/>
          <w:sz w:val="24"/>
        </w:rPr>
      </w:pPr>
      <w:r>
        <w:rPr>
          <w:rFonts w:hint="eastAsia" w:ascii="宋体" w:hAnsi="宋体"/>
          <w:b/>
          <w:bCs/>
          <w:sz w:val="24"/>
        </w:rPr>
        <w:t>五、货款结算：</w:t>
      </w:r>
      <w:r>
        <w:rPr>
          <w:rFonts w:hint="eastAsia" w:ascii="宋体" w:hAnsi="宋体"/>
          <w:b w:val="0"/>
          <w:bCs w:val="0"/>
          <w:sz w:val="24"/>
          <w:lang w:eastAsia="zh-CN"/>
        </w:rPr>
        <w:t>采</w:t>
      </w:r>
      <w:r>
        <w:rPr>
          <w:rFonts w:ascii="宋体" w:hAnsi="宋体"/>
          <w:kern w:val="0"/>
          <w:sz w:val="24"/>
        </w:rPr>
        <w:t>用分段付款方式，</w:t>
      </w:r>
      <w:r>
        <w:rPr>
          <w:rFonts w:hint="eastAsia" w:ascii="宋体" w:hAnsi="宋体"/>
          <w:kern w:val="0"/>
          <w:sz w:val="24"/>
          <w:lang w:eastAsia="zh-CN"/>
        </w:rPr>
        <w:t>粮</w:t>
      </w:r>
      <w:r>
        <w:rPr>
          <w:rFonts w:ascii="宋体" w:hAnsi="宋体"/>
          <w:kern w:val="0"/>
          <w:sz w:val="24"/>
        </w:rPr>
        <w:t>食运到指定仓库并经质量检验合格入库后，累计达500吨为结算起点，以后每500吨结算一次</w:t>
      </w:r>
      <w:r>
        <w:rPr>
          <w:rFonts w:hint="eastAsia" w:ascii="宋体" w:hAnsi="宋体"/>
          <w:kern w:val="0"/>
          <w:sz w:val="24"/>
          <w:lang w:eastAsia="zh-CN"/>
        </w:rPr>
        <w:t>。</w:t>
      </w:r>
      <w:r>
        <w:rPr>
          <w:rFonts w:ascii="宋体" w:hAnsi="宋体"/>
          <w:color w:val="000000" w:themeColor="text1"/>
          <w:kern w:val="0"/>
          <w:sz w:val="24"/>
          <w14:textFill>
            <w14:solidFill>
              <w14:schemeClr w14:val="tx1"/>
            </w14:solidFill>
          </w14:textFill>
        </w:rPr>
        <w:t>买方凭卖方</w:t>
      </w:r>
      <w:r>
        <w:rPr>
          <w:rFonts w:hint="eastAsia" w:ascii="宋体" w:hAnsi="宋体"/>
          <w:color w:val="000000" w:themeColor="text1"/>
          <w:kern w:val="0"/>
          <w:sz w:val="24"/>
          <w:lang w:eastAsia="zh-CN"/>
          <w14:textFill>
            <w14:solidFill>
              <w14:schemeClr w14:val="tx1"/>
            </w14:solidFill>
          </w14:textFill>
        </w:rPr>
        <w:t>出具</w:t>
      </w:r>
      <w:r>
        <w:rPr>
          <w:rFonts w:ascii="宋体" w:hAnsi="宋体"/>
          <w:color w:val="000000" w:themeColor="text1"/>
          <w:kern w:val="0"/>
          <w:sz w:val="24"/>
          <w14:textFill>
            <w14:solidFill>
              <w14:schemeClr w14:val="tx1"/>
            </w14:solidFill>
          </w14:textFill>
        </w:rPr>
        <w:t>的《</w:t>
      </w:r>
      <w:r>
        <w:rPr>
          <w:rFonts w:hint="eastAsia" w:ascii="宋体" w:hAnsi="宋体"/>
          <w:color w:val="000000" w:themeColor="text1"/>
          <w:kern w:val="0"/>
          <w:sz w:val="24"/>
          <w:lang w:val="en-US" w:eastAsia="zh-CN"/>
          <w14:textFill>
            <w14:solidFill>
              <w14:schemeClr w14:val="tx1"/>
            </w14:solidFill>
          </w14:textFill>
        </w:rPr>
        <w:t>入库</w:t>
      </w:r>
      <w:r>
        <w:rPr>
          <w:rFonts w:ascii="宋体" w:hAnsi="宋体"/>
          <w:color w:val="000000" w:themeColor="text1"/>
          <w:kern w:val="0"/>
          <w:sz w:val="24"/>
          <w14:textFill>
            <w14:solidFill>
              <w14:schemeClr w14:val="tx1"/>
            </w14:solidFill>
          </w14:textFill>
        </w:rPr>
        <w:t>结算凭证》，原则上在5个工作日内付清货款。在全部数量入库完毕的最后一次结算点，卖方必须提供本单位开出的全部货物销售增值税发票或粮食销售统一发票（银行转账）后，买方在5个工作日内结算全部货款</w:t>
      </w:r>
      <w:r>
        <w:rPr>
          <w:rFonts w:ascii="宋体" w:hAnsi="宋体"/>
          <w:kern w:val="0"/>
          <w:sz w:val="24"/>
        </w:rPr>
        <w:t>。</w:t>
      </w:r>
      <w:r>
        <w:rPr>
          <w:rFonts w:hint="eastAsia" w:ascii="宋体" w:hAnsi="宋体"/>
          <w:kern w:val="0"/>
          <w:sz w:val="24"/>
        </w:rPr>
        <w:t xml:space="preserve"> </w:t>
      </w:r>
    </w:p>
    <w:p>
      <w:pPr>
        <w:pStyle w:val="3"/>
        <w:spacing w:line="380" w:lineRule="atLeast"/>
        <w:ind w:firstLine="482"/>
        <w:rPr>
          <w:rFonts w:ascii="宋体" w:hAnsi="宋体" w:eastAsia="宋体"/>
        </w:rPr>
      </w:pPr>
      <w:r>
        <w:rPr>
          <w:rFonts w:hint="eastAsia" w:ascii="宋体" w:hAnsi="宋体" w:eastAsia="宋体"/>
          <w:b/>
          <w:bCs/>
        </w:rPr>
        <w:t>六、违约责任：</w:t>
      </w:r>
      <w:r>
        <w:rPr>
          <w:rFonts w:ascii="宋体" w:hAnsi="宋体" w:eastAsia="宋体"/>
        </w:rPr>
        <w:t>如有任何一方违约，违约部分保证金划归对方，并承担对方违约部分交易手续费，交易中心不承担经济责任。</w:t>
      </w:r>
    </w:p>
    <w:p>
      <w:pPr>
        <w:pStyle w:val="3"/>
        <w:snapToGrid w:val="0"/>
        <w:spacing w:line="380" w:lineRule="atLeast"/>
        <w:rPr>
          <w:rFonts w:ascii="宋体" w:hAnsi="宋体"/>
        </w:rPr>
      </w:pPr>
      <w:r>
        <w:rPr>
          <w:rFonts w:hint="eastAsia" w:ascii="宋体" w:hAnsi="宋体" w:eastAsia="宋体" w:cs="宋体"/>
          <w:b/>
          <w:bCs/>
        </w:rPr>
        <w:t>七、争议解决：</w:t>
      </w:r>
    </w:p>
    <w:p>
      <w:pPr>
        <w:autoSpaceDE w:val="0"/>
        <w:autoSpaceDN w:val="0"/>
        <w:adjustRightInd w:val="0"/>
        <w:snapToGrid w:val="0"/>
        <w:spacing w:line="380" w:lineRule="atLeast"/>
        <w:ind w:firstLine="480" w:firstLineChars="200"/>
        <w:rPr>
          <w:rFonts w:ascii="宋体" w:hAnsi="宋体"/>
          <w:kern w:val="0"/>
          <w:sz w:val="24"/>
        </w:rPr>
      </w:pPr>
      <w:r>
        <w:rPr>
          <w:rFonts w:ascii="宋体" w:hAnsi="宋体"/>
          <w:kern w:val="0"/>
          <w:sz w:val="24"/>
        </w:rPr>
        <w:t>1、出现不明确责任情况，由交易中心协调解决；</w:t>
      </w:r>
    </w:p>
    <w:p>
      <w:pPr>
        <w:autoSpaceDE w:val="0"/>
        <w:autoSpaceDN w:val="0"/>
        <w:adjustRightInd w:val="0"/>
        <w:snapToGrid w:val="0"/>
        <w:spacing w:line="380" w:lineRule="atLeast"/>
        <w:ind w:firstLine="480" w:firstLineChars="200"/>
        <w:rPr>
          <w:rFonts w:ascii="宋体" w:hAnsi="宋体"/>
          <w:kern w:val="0"/>
          <w:sz w:val="24"/>
        </w:rPr>
      </w:pPr>
      <w:r>
        <w:rPr>
          <w:rFonts w:ascii="宋体" w:hAnsi="宋体"/>
          <w:kern w:val="0"/>
          <w:sz w:val="24"/>
        </w:rPr>
        <w:t>2、卖方逾期交货（含因质量不合格被买方拒收造成的逾期交货），逾期供货10天内，每逾期一天，按逾期交货总金额的0.2%向买方支付滞纳金；超过10天的，由交易中心通知卖方停止供货，并按50元/吨扣罚中标单位逾期费。由于不可抗拒原因导致卖方逾期交货，卖方应在一周内向买方及交易中心报告，说明货物受阻、受影响数量等情况，经交易中心核实，并征得买方同意后，相应顺延合同履行期限。</w:t>
      </w:r>
    </w:p>
    <w:p>
      <w:pPr>
        <w:autoSpaceDE w:val="0"/>
        <w:autoSpaceDN w:val="0"/>
        <w:adjustRightInd w:val="0"/>
        <w:snapToGrid w:val="0"/>
        <w:spacing w:line="380" w:lineRule="atLeast"/>
        <w:ind w:firstLine="480" w:firstLineChars="200"/>
        <w:rPr>
          <w:rFonts w:ascii="宋体" w:hAnsi="宋体"/>
          <w:kern w:val="0"/>
          <w:sz w:val="24"/>
        </w:rPr>
      </w:pPr>
      <w:r>
        <w:rPr>
          <w:rFonts w:ascii="宋体" w:hAnsi="宋体"/>
          <w:kern w:val="0"/>
          <w:sz w:val="24"/>
        </w:rPr>
        <w:t>3、卖方不得发出带有活虫的粮食，如买方收到粮食时，发现最严重部位每公斤样品中达到二头活虫的即视为虫粮，只有一头活虫的不作虫粮处理。买方必须对虫粮进行灭虫处理，因灭虫而产生的直接费用和造成的损失，按实际情况核算，由卖方承担。</w:t>
      </w:r>
    </w:p>
    <w:p>
      <w:pPr>
        <w:autoSpaceDE w:val="0"/>
        <w:autoSpaceDN w:val="0"/>
        <w:adjustRightInd w:val="0"/>
        <w:snapToGrid w:val="0"/>
        <w:spacing w:line="380" w:lineRule="atLeast"/>
        <w:ind w:firstLine="480" w:firstLineChars="200"/>
        <w:rPr>
          <w:rFonts w:ascii="宋体" w:hAnsi="宋体"/>
          <w:kern w:val="0"/>
          <w:sz w:val="24"/>
        </w:rPr>
      </w:pPr>
      <w:r>
        <w:rPr>
          <w:rFonts w:ascii="宋体" w:hAnsi="宋体"/>
          <w:kern w:val="0"/>
          <w:sz w:val="24"/>
        </w:rPr>
        <w:t>4、买卖双方如就质量问题发生争议，双方共同抽样并委托粮食产品质量监督检验机构检验鉴定，费用由责任方负担。</w:t>
      </w:r>
    </w:p>
    <w:p>
      <w:pPr>
        <w:autoSpaceDE w:val="0"/>
        <w:autoSpaceDN w:val="0"/>
        <w:adjustRightInd w:val="0"/>
        <w:snapToGrid w:val="0"/>
        <w:spacing w:line="380" w:lineRule="atLeast"/>
        <w:ind w:firstLine="480" w:firstLineChars="200"/>
        <w:rPr>
          <w:rFonts w:hint="eastAsia" w:ascii="宋体" w:hAnsi="宋体"/>
          <w:kern w:val="0"/>
          <w:sz w:val="24"/>
          <w:lang w:val="en-US" w:eastAsia="zh-CN"/>
        </w:rPr>
      </w:pPr>
      <w:r>
        <w:rPr>
          <w:rFonts w:hint="eastAsia" w:ascii="宋体" w:hAnsi="宋体"/>
          <w:kern w:val="0"/>
          <w:sz w:val="24"/>
          <w:lang w:val="en-US" w:eastAsia="zh-CN"/>
        </w:rPr>
        <w:t>5、</w:t>
      </w:r>
      <w:r>
        <w:rPr>
          <w:rFonts w:ascii="宋体" w:hAnsi="宋体"/>
          <w:kern w:val="0"/>
          <w:sz w:val="24"/>
        </w:rPr>
        <w:t>入库结束后由买方委托有资质的第三方扦样、检验，质量认定以有资质的第三方出具的检验结果为准。</w:t>
      </w:r>
    </w:p>
    <w:p>
      <w:pPr>
        <w:autoSpaceDE w:val="0"/>
        <w:autoSpaceDN w:val="0"/>
        <w:adjustRightInd w:val="0"/>
        <w:snapToGrid w:val="0"/>
        <w:spacing w:line="380" w:lineRule="atLeast"/>
        <w:ind w:firstLine="482" w:firstLineChars="200"/>
        <w:rPr>
          <w:rFonts w:ascii="宋体" w:hAnsi="宋体"/>
          <w:b/>
          <w:bCs/>
          <w:kern w:val="0"/>
          <w:sz w:val="24"/>
        </w:rPr>
      </w:pPr>
      <w:r>
        <w:rPr>
          <w:rFonts w:hint="eastAsia" w:ascii="宋体" w:hAnsi="宋体"/>
          <w:b/>
          <w:bCs/>
          <w:kern w:val="0"/>
          <w:sz w:val="24"/>
        </w:rPr>
        <w:t>八、</w:t>
      </w:r>
      <w:r>
        <w:rPr>
          <w:rFonts w:ascii="宋体" w:hAnsi="宋体"/>
          <w:b/>
          <w:bCs/>
          <w:kern w:val="0"/>
          <w:sz w:val="24"/>
        </w:rPr>
        <w:t>本合同自签订之日起生效，</w:t>
      </w:r>
      <w:r>
        <w:rPr>
          <w:rFonts w:hint="eastAsia" w:ascii="宋体" w:hAnsi="宋体"/>
          <w:b/>
          <w:bCs/>
          <w:kern w:val="0"/>
          <w:sz w:val="24"/>
          <w:lang w:eastAsia="zh-CN"/>
        </w:rPr>
        <w:t>待</w:t>
      </w:r>
      <w:r>
        <w:rPr>
          <w:rFonts w:ascii="宋体" w:hAnsi="宋体"/>
          <w:b/>
          <w:bCs/>
          <w:kern w:val="0"/>
          <w:sz w:val="24"/>
        </w:rPr>
        <w:t>双方履行完毕后自然终止。</w:t>
      </w:r>
    </w:p>
    <w:p>
      <w:pPr>
        <w:autoSpaceDE w:val="0"/>
        <w:autoSpaceDN w:val="0"/>
        <w:adjustRightInd w:val="0"/>
        <w:snapToGrid w:val="0"/>
        <w:spacing w:line="380" w:lineRule="atLeast"/>
        <w:ind w:firstLine="482" w:firstLineChars="200"/>
        <w:rPr>
          <w:rFonts w:ascii="宋体" w:hAnsi="宋体"/>
          <w:b/>
          <w:bCs/>
          <w:kern w:val="0"/>
          <w:sz w:val="24"/>
        </w:rPr>
      </w:pPr>
      <w:r>
        <w:rPr>
          <w:rFonts w:ascii="宋体" w:hAnsi="宋体"/>
          <w:b/>
          <w:bCs/>
          <w:kern w:val="0"/>
          <w:sz w:val="24"/>
        </w:rPr>
        <w:t>九、如有未尽事宜，买卖双方同意按照《梅州市嘉应粮食交易中心竞价交易规则》的相关条款协商解决。协商不成的，提交有关部门或通过法律程序解决。</w:t>
      </w:r>
    </w:p>
    <w:p>
      <w:pPr>
        <w:autoSpaceDE w:val="0"/>
        <w:autoSpaceDN w:val="0"/>
        <w:adjustRightInd w:val="0"/>
        <w:snapToGrid w:val="0"/>
        <w:spacing w:line="380" w:lineRule="atLeast"/>
        <w:ind w:firstLine="482" w:firstLineChars="200"/>
        <w:rPr>
          <w:rFonts w:ascii="宋体" w:hAnsi="宋体"/>
          <w:b/>
          <w:bCs/>
          <w:kern w:val="0"/>
          <w:sz w:val="24"/>
        </w:rPr>
      </w:pPr>
      <w:r>
        <w:rPr>
          <w:rFonts w:ascii="宋体" w:hAnsi="宋体"/>
          <w:b/>
          <w:bCs/>
          <w:kern w:val="0"/>
          <w:sz w:val="24"/>
        </w:rPr>
        <w:t>十、本合同一式三份，买卖双方、确认单位各执一份。</w:t>
      </w:r>
      <w:bookmarkStart w:id="0" w:name="_GoBack"/>
      <w:bookmarkEnd w:id="0"/>
    </w:p>
    <w:p>
      <w:pPr>
        <w:autoSpaceDE w:val="0"/>
        <w:autoSpaceDN w:val="0"/>
        <w:adjustRightInd w:val="0"/>
        <w:snapToGrid w:val="0"/>
        <w:spacing w:line="380" w:lineRule="atLeast"/>
        <w:rPr>
          <w:rFonts w:ascii="宋体" w:hAnsi="宋体"/>
          <w:b/>
          <w:bCs/>
          <w:kern w:val="0"/>
          <w:sz w:val="24"/>
        </w:rPr>
      </w:pPr>
    </w:p>
    <w:p>
      <w:pPr>
        <w:autoSpaceDE w:val="0"/>
        <w:autoSpaceDN w:val="0"/>
        <w:adjustRightInd w:val="0"/>
        <w:spacing w:line="460" w:lineRule="exact"/>
        <w:ind w:firstLine="480" w:firstLineChars="200"/>
        <w:rPr>
          <w:rFonts w:ascii="宋体" w:hAnsi="宋体"/>
          <w:kern w:val="0"/>
          <w:sz w:val="24"/>
        </w:rPr>
      </w:pPr>
    </w:p>
    <w:p>
      <w:pPr>
        <w:autoSpaceDE w:val="0"/>
        <w:autoSpaceDN w:val="0"/>
        <w:adjustRightInd w:val="0"/>
        <w:spacing w:line="460" w:lineRule="exact"/>
        <w:rPr>
          <w:rFonts w:ascii="宋体" w:hAnsi="宋体"/>
          <w:kern w:val="0"/>
          <w:sz w:val="24"/>
        </w:rPr>
      </w:pPr>
      <w:r>
        <w:rPr>
          <w:rFonts w:hint="eastAsia" w:ascii="宋体" w:hAnsi="宋体"/>
          <w:kern w:val="0"/>
          <w:sz w:val="24"/>
        </w:rPr>
        <w:t xml:space="preserve">买方单位（盖章）：                  卖方单位（盖章）： </w:t>
      </w:r>
    </w:p>
    <w:p>
      <w:pPr>
        <w:autoSpaceDE w:val="0"/>
        <w:autoSpaceDN w:val="0"/>
        <w:adjustRightInd w:val="0"/>
        <w:spacing w:line="460" w:lineRule="exact"/>
        <w:rPr>
          <w:rFonts w:ascii="宋体" w:hAnsi="宋体"/>
          <w:kern w:val="0"/>
          <w:sz w:val="24"/>
        </w:rPr>
      </w:pPr>
    </w:p>
    <w:p>
      <w:pPr>
        <w:autoSpaceDE w:val="0"/>
        <w:autoSpaceDN w:val="0"/>
        <w:adjustRightInd w:val="0"/>
        <w:spacing w:line="460" w:lineRule="exact"/>
        <w:rPr>
          <w:rFonts w:ascii="宋体" w:hAnsi="宋体"/>
          <w:kern w:val="0"/>
          <w:sz w:val="24"/>
        </w:rPr>
      </w:pPr>
    </w:p>
    <w:p>
      <w:pPr>
        <w:autoSpaceDE w:val="0"/>
        <w:autoSpaceDN w:val="0"/>
        <w:adjustRightInd w:val="0"/>
        <w:spacing w:line="460" w:lineRule="exact"/>
        <w:rPr>
          <w:rFonts w:ascii="宋体" w:hAnsi="宋体"/>
          <w:kern w:val="0"/>
          <w:sz w:val="24"/>
        </w:rPr>
      </w:pPr>
      <w:r>
        <w:rPr>
          <w:rFonts w:hint="eastAsia" w:ascii="宋体" w:hAnsi="宋体"/>
          <w:kern w:val="0"/>
          <w:sz w:val="24"/>
        </w:rPr>
        <w:t>法人或代理人（签字）：              法人或代理人（签字）：</w:t>
      </w:r>
    </w:p>
    <w:p>
      <w:pPr>
        <w:spacing w:line="500" w:lineRule="exact"/>
        <w:rPr>
          <w:rFonts w:ascii="宋体" w:hAnsi="宋体"/>
          <w:kern w:val="0"/>
          <w:sz w:val="24"/>
        </w:rPr>
      </w:pPr>
    </w:p>
    <w:p>
      <w:pPr>
        <w:spacing w:line="500" w:lineRule="exact"/>
        <w:rPr>
          <w:rFonts w:ascii="宋体" w:hAnsi="宋体"/>
          <w:kern w:val="0"/>
          <w:sz w:val="24"/>
        </w:rPr>
      </w:pPr>
    </w:p>
    <w:p>
      <w:pPr>
        <w:spacing w:line="500" w:lineRule="exact"/>
        <w:rPr>
          <w:rFonts w:ascii="宋体" w:hAnsi="宋体"/>
          <w:sz w:val="24"/>
        </w:rPr>
      </w:pPr>
      <w:r>
        <w:rPr>
          <w:rFonts w:hint="eastAsia" w:ascii="宋体" w:hAnsi="宋体"/>
          <w:sz w:val="24"/>
        </w:rPr>
        <w:t>确认单位：梅州市嘉应粮食交易中心有限公司</w:t>
      </w:r>
    </w:p>
    <w:p>
      <w:pPr>
        <w:spacing w:line="500" w:lineRule="exact"/>
        <w:rPr>
          <w:rFonts w:ascii="宋体" w:hAnsi="宋体"/>
          <w:sz w:val="24"/>
        </w:rPr>
      </w:pPr>
      <w:r>
        <w:rPr>
          <w:rFonts w:hint="eastAsia" w:ascii="宋体" w:hAnsi="宋体"/>
          <w:kern w:val="0"/>
          <w:sz w:val="24"/>
        </w:rPr>
        <w:t>电话（传真）</w:t>
      </w:r>
      <w:r>
        <w:rPr>
          <w:rFonts w:hint="eastAsia" w:ascii="宋体" w:hAnsi="宋体"/>
          <w:sz w:val="24"/>
        </w:rPr>
        <w:t xml:space="preserve">：0753-2128232   0753-2128231     </w:t>
      </w:r>
    </w:p>
    <w:p>
      <w:pPr>
        <w:spacing w:line="500" w:lineRule="exact"/>
        <w:ind w:firstLine="6496" w:firstLineChars="2707"/>
        <w:rPr>
          <w:rFonts w:ascii="宋体" w:hAnsi="宋体"/>
          <w:sz w:val="24"/>
        </w:rPr>
      </w:pPr>
      <w:r>
        <w:rPr>
          <w:rFonts w:hint="eastAsia" w:ascii="宋体" w:hAnsi="宋体"/>
          <w:kern w:val="0"/>
          <w:sz w:val="24"/>
        </w:rPr>
        <w:t>202</w:t>
      </w:r>
      <w:r>
        <w:rPr>
          <w:rFonts w:hint="eastAsia" w:ascii="宋体" w:hAnsi="宋体"/>
          <w:kern w:val="0"/>
          <w:sz w:val="24"/>
          <w:lang w:val="en-US" w:eastAsia="zh-CN"/>
        </w:rPr>
        <w:t>4</w:t>
      </w:r>
      <w:r>
        <w:rPr>
          <w:rFonts w:hint="eastAsia" w:ascii="宋体" w:hAnsi="宋体"/>
          <w:kern w:val="0"/>
          <w:sz w:val="24"/>
        </w:rPr>
        <w:t>年</w:t>
      </w:r>
      <w:r>
        <w:rPr>
          <w:rFonts w:hint="eastAsia" w:ascii="宋体" w:hAnsi="宋体"/>
          <w:kern w:val="0"/>
          <w:sz w:val="24"/>
          <w:lang w:val="en-US" w:eastAsia="zh-CN"/>
        </w:rPr>
        <w:t>XX</w:t>
      </w:r>
      <w:r>
        <w:rPr>
          <w:rFonts w:hint="eastAsia" w:ascii="宋体" w:hAnsi="宋体"/>
          <w:kern w:val="0"/>
          <w:sz w:val="24"/>
        </w:rPr>
        <w:t>月</w:t>
      </w:r>
      <w:r>
        <w:rPr>
          <w:rFonts w:hint="eastAsia" w:ascii="宋体" w:hAnsi="宋体"/>
          <w:kern w:val="0"/>
          <w:sz w:val="24"/>
          <w:lang w:val="en-US" w:eastAsia="zh-CN"/>
        </w:rPr>
        <w:t>XX</w:t>
      </w:r>
      <w:r>
        <w:rPr>
          <w:rFonts w:hint="eastAsia" w:ascii="宋体" w:hAnsi="宋体"/>
          <w:kern w:val="0"/>
          <w:sz w:val="24"/>
        </w:rPr>
        <w:t>日</w:t>
      </w:r>
    </w:p>
    <w:p/>
    <w:sectPr>
      <w:headerReference r:id="rId3" w:type="default"/>
      <w:footerReference r:id="rId4" w:type="default"/>
      <w:footerReference r:id="rId5" w:type="even"/>
      <w:pgSz w:w="11906" w:h="16838"/>
      <w:pgMar w:top="1304" w:right="1469" w:bottom="1247" w:left="1797"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framePr w:wrap="around" w:vAnchor="text" w:hAnchor="margin" w:xAlign="center" w:y="1"/>
      <w:rPr>
        <w:rStyle w:val="8"/>
      </w:rPr>
    </w:pPr>
    <w:r>
      <w:fldChar w:fldCharType="begin"/>
    </w:r>
    <w:r>
      <w:rPr>
        <w:rStyle w:val="8"/>
      </w:rPr>
      <w:instrText xml:space="preserve">PAGE  </w:instrText>
    </w:r>
    <w:r>
      <w:fldChar w:fldCharType="separate"/>
    </w:r>
    <w:r>
      <w:rPr>
        <w:rStyle w:val="8"/>
      </w:rPr>
      <w:t>2</w:t>
    </w:r>
    <w:r>
      <w:fldChar w:fldCharType="end"/>
    </w:r>
  </w:p>
  <w:p>
    <w:pPr>
      <w:pStyle w:val="4"/>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framePr w:wrap="around" w:vAnchor="text" w:hAnchor="margin" w:xAlign="center" w:y="1"/>
      <w:rPr>
        <w:rStyle w:val="8"/>
      </w:rPr>
    </w:pPr>
    <w:r>
      <w:fldChar w:fldCharType="begin"/>
    </w:r>
    <w:r>
      <w:rPr>
        <w:rStyle w:val="8"/>
      </w:rPr>
      <w:instrText xml:space="preserve">PAGE  </w:instrText>
    </w:r>
    <w:r>
      <w:fldChar w:fldCharType="end"/>
    </w:r>
  </w:p>
  <w:p>
    <w:pPr>
      <w:pStyle w:val="4"/>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6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2U1MzJiMWVjNTBkZjQ0MmVjYzY4ZTFkYzc0NWE5YjcifQ=="/>
  </w:docVars>
  <w:rsids>
    <w:rsidRoot w:val="007C2601"/>
    <w:rsid w:val="007C2601"/>
    <w:rsid w:val="00A33732"/>
    <w:rsid w:val="03843986"/>
    <w:rsid w:val="0A245577"/>
    <w:rsid w:val="0ADA6A6A"/>
    <w:rsid w:val="0E367F50"/>
    <w:rsid w:val="0F071A5A"/>
    <w:rsid w:val="196747B5"/>
    <w:rsid w:val="21BA5CC1"/>
    <w:rsid w:val="265D0D7E"/>
    <w:rsid w:val="2B5A3EBA"/>
    <w:rsid w:val="2D480749"/>
    <w:rsid w:val="2E9160FE"/>
    <w:rsid w:val="310E5FC1"/>
    <w:rsid w:val="44C71F0D"/>
    <w:rsid w:val="4558323C"/>
    <w:rsid w:val="4ECB1271"/>
    <w:rsid w:val="60311C36"/>
    <w:rsid w:val="63701696"/>
    <w:rsid w:val="76A02CBC"/>
    <w:rsid w:val="7EA879B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nhideWhenUsed="0" w:uiPriority="0" w:semiHidden="0" w:name="header"/>
    <w:lsdException w:qFormat="1" w:unhideWhenUsed="0"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qFormat="1" w:unhideWhenUsed="0" w:uiPriority="0" w:semiHidden="0"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7">
    <w:name w:val="Default Paragraph Font"/>
    <w:autoRedefine/>
    <w:semiHidden/>
    <w:unhideWhenUsed/>
    <w:qFormat/>
    <w:uiPriority w:val="1"/>
  </w:style>
  <w:style w:type="table" w:default="1" w:styleId="6">
    <w:name w:val="Normal Table"/>
    <w:autoRedefine/>
    <w:semiHidden/>
    <w:unhideWhenUsed/>
    <w:qFormat/>
    <w:uiPriority w:val="99"/>
    <w:tblPr>
      <w:tblCellMar>
        <w:top w:w="0" w:type="dxa"/>
        <w:left w:w="108" w:type="dxa"/>
        <w:bottom w:w="0" w:type="dxa"/>
        <w:right w:w="108" w:type="dxa"/>
      </w:tblCellMar>
    </w:tblPr>
  </w:style>
  <w:style w:type="paragraph" w:styleId="2">
    <w:name w:val="Body Text Indent"/>
    <w:basedOn w:val="1"/>
    <w:link w:val="10"/>
    <w:autoRedefine/>
    <w:qFormat/>
    <w:uiPriority w:val="0"/>
    <w:pPr>
      <w:autoSpaceDE w:val="0"/>
      <w:autoSpaceDN w:val="0"/>
      <w:adjustRightInd w:val="0"/>
      <w:spacing w:line="500" w:lineRule="exact"/>
      <w:ind w:firstLine="560" w:firstLineChars="200"/>
    </w:pPr>
    <w:rPr>
      <w:rFonts w:ascii="仿宋_GB2312" w:eastAsia="仿宋_GB2312"/>
      <w:kern w:val="0"/>
      <w:sz w:val="28"/>
    </w:rPr>
  </w:style>
  <w:style w:type="paragraph" w:styleId="3">
    <w:name w:val="Body Text Indent 2"/>
    <w:basedOn w:val="1"/>
    <w:link w:val="9"/>
    <w:autoRedefine/>
    <w:qFormat/>
    <w:uiPriority w:val="0"/>
    <w:pPr>
      <w:autoSpaceDE w:val="0"/>
      <w:autoSpaceDN w:val="0"/>
      <w:adjustRightInd w:val="0"/>
      <w:spacing w:line="460" w:lineRule="exact"/>
      <w:ind w:firstLine="480" w:firstLineChars="200"/>
    </w:pPr>
    <w:rPr>
      <w:rFonts w:ascii="仿宋_GB2312" w:eastAsia="仿宋_GB2312"/>
      <w:kern w:val="0"/>
      <w:sz w:val="24"/>
    </w:rPr>
  </w:style>
  <w:style w:type="paragraph" w:styleId="4">
    <w:name w:val="footer"/>
    <w:basedOn w:val="1"/>
    <w:link w:val="11"/>
    <w:autoRedefine/>
    <w:qFormat/>
    <w:uiPriority w:val="0"/>
    <w:pPr>
      <w:tabs>
        <w:tab w:val="center" w:pos="4153"/>
        <w:tab w:val="right" w:pos="8306"/>
      </w:tabs>
      <w:snapToGrid w:val="0"/>
      <w:jc w:val="left"/>
    </w:pPr>
    <w:rPr>
      <w:sz w:val="18"/>
      <w:szCs w:val="18"/>
    </w:rPr>
  </w:style>
  <w:style w:type="paragraph" w:styleId="5">
    <w:name w:val="header"/>
    <w:basedOn w:val="1"/>
    <w:link w:val="12"/>
    <w:qFormat/>
    <w:uiPriority w:val="0"/>
    <w:pPr>
      <w:pBdr>
        <w:bottom w:val="single" w:color="auto" w:sz="6" w:space="1"/>
      </w:pBdr>
      <w:tabs>
        <w:tab w:val="center" w:pos="4153"/>
        <w:tab w:val="right" w:pos="8306"/>
      </w:tabs>
      <w:snapToGrid w:val="0"/>
      <w:jc w:val="center"/>
    </w:pPr>
    <w:rPr>
      <w:sz w:val="18"/>
      <w:szCs w:val="18"/>
    </w:rPr>
  </w:style>
  <w:style w:type="character" w:styleId="8">
    <w:name w:val="page number"/>
    <w:basedOn w:val="7"/>
    <w:autoRedefine/>
    <w:qFormat/>
    <w:uiPriority w:val="0"/>
  </w:style>
  <w:style w:type="character" w:customStyle="1" w:styleId="9">
    <w:name w:val="正文文本缩进 2 Char"/>
    <w:basedOn w:val="7"/>
    <w:link w:val="3"/>
    <w:autoRedefine/>
    <w:qFormat/>
    <w:uiPriority w:val="0"/>
    <w:rPr>
      <w:rFonts w:ascii="仿宋_GB2312" w:hAnsi="Times New Roman" w:eastAsia="仿宋_GB2312" w:cs="Times New Roman"/>
      <w:kern w:val="0"/>
      <w:sz w:val="24"/>
      <w:szCs w:val="24"/>
    </w:rPr>
  </w:style>
  <w:style w:type="character" w:customStyle="1" w:styleId="10">
    <w:name w:val="正文文本缩进 Char"/>
    <w:basedOn w:val="7"/>
    <w:link w:val="2"/>
    <w:autoRedefine/>
    <w:qFormat/>
    <w:uiPriority w:val="0"/>
    <w:rPr>
      <w:rFonts w:ascii="仿宋_GB2312" w:hAnsi="Times New Roman" w:eastAsia="仿宋_GB2312" w:cs="Times New Roman"/>
      <w:kern w:val="0"/>
      <w:sz w:val="28"/>
      <w:szCs w:val="24"/>
    </w:rPr>
  </w:style>
  <w:style w:type="character" w:customStyle="1" w:styleId="11">
    <w:name w:val="页脚 Char"/>
    <w:basedOn w:val="7"/>
    <w:link w:val="4"/>
    <w:autoRedefine/>
    <w:qFormat/>
    <w:uiPriority w:val="0"/>
    <w:rPr>
      <w:rFonts w:ascii="Times New Roman" w:hAnsi="Times New Roman" w:eastAsia="宋体" w:cs="Times New Roman"/>
      <w:sz w:val="18"/>
      <w:szCs w:val="18"/>
    </w:rPr>
  </w:style>
  <w:style w:type="character" w:customStyle="1" w:styleId="12">
    <w:name w:val="页眉 Char"/>
    <w:basedOn w:val="7"/>
    <w:link w:val="5"/>
    <w:autoRedefine/>
    <w:qFormat/>
    <w:uiPriority w:val="0"/>
    <w:rPr>
      <w:rFonts w:ascii="Times New Roman" w:hAnsi="Times New Roman" w:eastAsia="宋体" w:cs="Times New Roman"/>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2</Pages>
  <Words>254</Words>
  <Characters>1451</Characters>
  <Lines>12</Lines>
  <Paragraphs>3</Paragraphs>
  <TotalTime>41</TotalTime>
  <ScaleCrop>false</ScaleCrop>
  <LinksUpToDate>false</LinksUpToDate>
  <CharactersWithSpaces>1702</CharactersWithSpaces>
  <Application>WPS Office_12.1.0.16729_F1E327BC-269C-435d-A152-05C5408002CA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2022-07-28T09:36:00Z</dcterms:created>
  <dc:creator>ADMIN</dc:creator>
  <cp:lastModifiedBy>发改局</cp:lastModifiedBy>
  <cp:lastPrinted>2024-04-10T10:01:00Z</cp:lastPrinted>
  <dcterms:modified xsi:type="dcterms:W3CDTF">2024-04-11T00:48:40Z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572A100B6EB74792B3B17F0C63BCF973_13</vt:lpwstr>
  </property>
</Properties>
</file>