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pPr>
        <w:pStyle w:val="7"/>
        <w:autoSpaceDE w:val="0"/>
        <w:autoSpaceDN w:val="0"/>
        <w:adjustRightInd w:val="0"/>
        <w:spacing w:line="500" w:lineRule="exact"/>
        <w:rPr>
          <w:rFonts w:hint="eastAsia" w:ascii="宋体" w:hAnsi="宋体"/>
          <w:kern w:val="0"/>
          <w:sz w:val="28"/>
          <w:szCs w:val="28"/>
        </w:rPr>
      </w:pPr>
      <w:r>
        <w:rPr>
          <w:rFonts w:hint="eastAsia" w:ascii="宋体" w:hAnsi="宋体"/>
          <w:kern w:val="0"/>
          <w:sz w:val="28"/>
          <w:szCs w:val="28"/>
        </w:rPr>
        <w:t>卖方全称：五华县琴江粮油收储管理有限公司</w:t>
      </w:r>
    </w:p>
    <w:p>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w:t>
      </w:r>
      <w:r>
        <w:rPr>
          <w:rFonts w:hint="eastAsia" w:ascii="宋体" w:hAnsi="宋体"/>
          <w:kern w:val="0"/>
          <w:sz w:val="28"/>
          <w:szCs w:val="28"/>
          <w:lang w:val="en-US" w:eastAsia="zh-CN"/>
        </w:rPr>
        <w:t xml:space="preserve">                        </w:t>
      </w:r>
      <w:r>
        <w:rPr>
          <w:rFonts w:hint="eastAsia" w:ascii="宋体" w:hAnsi="宋体"/>
          <w:kern w:val="0"/>
          <w:sz w:val="28"/>
          <w:szCs w:val="28"/>
        </w:rPr>
        <w:t>单位：元、吨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pPr>
              <w:pStyle w:val="2"/>
              <w:spacing w:line="460" w:lineRule="exact"/>
              <w:ind w:firstLine="0" w:firstLineChars="0"/>
              <w:jc w:val="left"/>
              <w:rPr>
                <w:rFonts w:hint="eastAsia" w:ascii="宋体" w:hAnsi="宋体" w:eastAsia="宋体"/>
                <w:sz w:val="24"/>
                <w:lang w:eastAsia="zh-CN"/>
              </w:rPr>
            </w:pPr>
            <w:r>
              <w:rPr>
                <w:rFonts w:hint="eastAsia" w:ascii="宋体" w:hAnsi="宋体" w:eastAsia="宋体"/>
                <w:sz w:val="24"/>
                <w:lang w:val="en-US" w:eastAsia="zh-CN"/>
              </w:rPr>
              <w:t xml:space="preserve"> </w:t>
            </w:r>
          </w:p>
        </w:tc>
        <w:tc>
          <w:tcPr>
            <w:tcW w:w="817"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数量</w:t>
            </w:r>
          </w:p>
        </w:tc>
        <w:tc>
          <w:tcPr>
            <w:tcW w:w="3145" w:type="dxa"/>
            <w:gridSpan w:val="2"/>
          </w:tcPr>
          <w:p>
            <w:pPr>
              <w:pStyle w:val="2"/>
              <w:spacing w:line="460" w:lineRule="exact"/>
              <w:ind w:firstLine="240" w:firstLineChars="100"/>
              <w:jc w:val="left"/>
              <w:rPr>
                <w:rFonts w:ascii="宋体" w:hAnsi="宋体" w:eastAsia="宋体"/>
                <w:sz w:val="24"/>
              </w:rPr>
            </w:pPr>
            <w:r>
              <w:rPr>
                <w:rFonts w:hint="eastAsia" w:ascii="宋体" w:hAnsi="宋体" w:eastAsia="宋体"/>
                <w:sz w:val="24"/>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pPr>
              <w:pStyle w:val="2"/>
              <w:spacing w:line="460" w:lineRule="exact"/>
              <w:ind w:firstLine="0" w:firstLineChars="0"/>
              <w:jc w:val="left"/>
              <w:rPr>
                <w:rFonts w:ascii="宋体" w:hAnsi="宋体" w:eastAsia="宋体"/>
                <w:sz w:val="24"/>
              </w:rPr>
            </w:pPr>
            <w:r>
              <w:rPr>
                <w:rFonts w:hint="eastAsia" w:ascii="宋体" w:hAnsi="宋体" w:eastAsia="宋体"/>
                <w:sz w:val="24"/>
              </w:rPr>
              <w:t>早籼稻谷</w:t>
            </w:r>
          </w:p>
        </w:tc>
        <w:tc>
          <w:tcPr>
            <w:tcW w:w="817"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等级</w:t>
            </w:r>
          </w:p>
        </w:tc>
        <w:tc>
          <w:tcPr>
            <w:tcW w:w="3145" w:type="dxa"/>
            <w:gridSpan w:val="2"/>
          </w:tcPr>
          <w:p>
            <w:pPr>
              <w:pStyle w:val="2"/>
              <w:spacing w:line="460" w:lineRule="exact"/>
              <w:ind w:firstLine="0" w:firstLineChars="0"/>
              <w:jc w:val="left"/>
              <w:rPr>
                <w:rFonts w:ascii="宋体" w:hAnsi="宋体" w:eastAsia="宋体"/>
                <w:sz w:val="24"/>
              </w:rPr>
            </w:pPr>
            <w:r>
              <w:rPr>
                <w:rFonts w:hint="eastAsia" w:ascii="宋体" w:hAnsi="宋体" w:eastAsia="宋体"/>
                <w:sz w:val="24"/>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pPr>
              <w:pStyle w:val="2"/>
              <w:spacing w:line="460" w:lineRule="exact"/>
              <w:ind w:firstLine="0" w:firstLineChars="0"/>
              <w:jc w:val="left"/>
              <w:rPr>
                <w:rFonts w:hint="default" w:ascii="宋体" w:hAnsi="宋体" w:eastAsia="宋体"/>
                <w:sz w:val="24"/>
                <w:lang w:val="en-US" w:eastAsia="zh-CN"/>
              </w:rPr>
            </w:pPr>
            <w:r>
              <w:rPr>
                <w:rFonts w:hint="eastAsia" w:ascii="宋体" w:hAnsi="宋体" w:eastAsia="宋体"/>
                <w:sz w:val="24"/>
                <w:lang w:val="en-US" w:eastAsia="zh-CN"/>
              </w:rPr>
              <w:t>2022年</w:t>
            </w:r>
          </w:p>
        </w:tc>
        <w:tc>
          <w:tcPr>
            <w:tcW w:w="817"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单价</w:t>
            </w:r>
          </w:p>
        </w:tc>
        <w:tc>
          <w:tcPr>
            <w:tcW w:w="3145" w:type="dxa"/>
            <w:gridSpan w:val="2"/>
          </w:tcPr>
          <w:p>
            <w:pPr>
              <w:pStyle w:val="2"/>
              <w:spacing w:line="460" w:lineRule="exact"/>
              <w:ind w:firstLine="240" w:firstLineChars="100"/>
              <w:jc w:val="left"/>
              <w:rPr>
                <w:rFonts w:ascii="宋体" w:hAnsi="宋体" w:eastAsia="宋体"/>
                <w:sz w:val="24"/>
              </w:rPr>
            </w:pPr>
            <w:r>
              <w:rPr>
                <w:rFonts w:hint="eastAsia" w:ascii="宋体" w:hAnsi="宋体" w:eastAsia="宋体"/>
                <w:sz w:val="24"/>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pPr>
              <w:pStyle w:val="2"/>
              <w:spacing w:line="460" w:lineRule="exact"/>
              <w:ind w:firstLine="0" w:firstLineChars="0"/>
              <w:jc w:val="left"/>
              <w:rPr>
                <w:rFonts w:hint="eastAsia" w:ascii="宋体" w:hAnsi="宋体" w:eastAsia="宋体"/>
                <w:sz w:val="24"/>
                <w:lang w:eastAsia="zh-CN"/>
              </w:rPr>
            </w:pPr>
            <w:r>
              <w:rPr>
                <w:rFonts w:hint="eastAsia" w:ascii="宋体" w:hAnsi="宋体" w:eastAsia="宋体"/>
                <w:sz w:val="24"/>
                <w:lang w:eastAsia="zh-CN"/>
              </w:rPr>
              <w:t>江西</w:t>
            </w:r>
          </w:p>
        </w:tc>
        <w:tc>
          <w:tcPr>
            <w:tcW w:w="817"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包装</w:t>
            </w:r>
          </w:p>
        </w:tc>
        <w:tc>
          <w:tcPr>
            <w:tcW w:w="3130" w:type="dxa"/>
          </w:tcPr>
          <w:p>
            <w:pPr>
              <w:pStyle w:val="2"/>
              <w:spacing w:line="460" w:lineRule="exact"/>
              <w:ind w:firstLine="0" w:firstLineChars="0"/>
              <w:jc w:val="left"/>
              <w:rPr>
                <w:rFonts w:ascii="宋体" w:hAnsi="宋体" w:eastAsia="宋体"/>
                <w:sz w:val="24"/>
              </w:rPr>
            </w:pPr>
            <w:r>
              <w:rPr>
                <w:rFonts w:hint="eastAsia" w:ascii="宋体" w:hAnsi="宋体" w:eastAsia="宋体"/>
                <w:sz w:val="24"/>
              </w:rPr>
              <w:t>散装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tcPr>
          <w:p>
            <w:pPr>
              <w:pStyle w:val="2"/>
              <w:spacing w:line="460" w:lineRule="exact"/>
              <w:ind w:left="0" w:leftChars="0" w:firstLine="240" w:firstLineChars="100"/>
              <w:rPr>
                <w:rFonts w:ascii="宋体" w:hAnsi="宋体" w:eastAsia="宋体"/>
                <w:sz w:val="24"/>
              </w:rPr>
            </w:pPr>
            <w:r>
              <w:rPr>
                <w:rFonts w:hint="eastAsia" w:ascii="宋体" w:hAnsi="宋体" w:eastAsia="宋体"/>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tcPr>
          <w:p>
            <w:pPr>
              <w:pStyle w:val="2"/>
              <w:spacing w:line="460" w:lineRule="exact"/>
              <w:ind w:firstLine="0" w:firstLineChars="0"/>
              <w:rPr>
                <w:rFonts w:hint="eastAsia" w:ascii="宋体" w:hAnsi="宋体" w:eastAsia="宋体"/>
                <w:sz w:val="24"/>
                <w:lang w:eastAsia="zh-CN"/>
              </w:rPr>
            </w:pPr>
            <w:r>
              <w:rPr>
                <w:rFonts w:hint="eastAsia" w:ascii="宋体" w:hAnsi="宋体" w:eastAsia="宋体"/>
                <w:sz w:val="24"/>
                <w:lang w:val="en-US" w:eastAsia="zh-CN"/>
              </w:rPr>
              <w:t>华城</w:t>
            </w:r>
            <w:r>
              <w:rPr>
                <w:rFonts w:hint="eastAsia" w:ascii="宋体" w:hAnsi="宋体" w:eastAsia="宋体"/>
                <w:sz w:val="24"/>
              </w:rPr>
              <w:t>粮库</w:t>
            </w:r>
            <w:r>
              <w:rPr>
                <w:rFonts w:hint="eastAsia" w:ascii="宋体" w:hAnsi="宋体" w:eastAsia="宋体"/>
                <w:sz w:val="24"/>
                <w:lang w:val="en-US" w:eastAsia="zh-CN"/>
              </w:rPr>
              <w:t>0P</w:t>
            </w:r>
            <w:r>
              <w:rPr>
                <w:rFonts w:hint="eastAsia" w:ascii="宋体" w:hAnsi="宋体" w:eastAsia="宋体"/>
                <w:sz w:val="24"/>
              </w:rPr>
              <w:t>2仓（</w:t>
            </w:r>
            <w:r>
              <w:rPr>
                <w:rFonts w:hint="eastAsia" w:ascii="宋体" w:hAnsi="宋体" w:eastAsia="宋体"/>
                <w:sz w:val="24"/>
                <w:lang w:val="en-US" w:eastAsia="zh-CN"/>
              </w:rPr>
              <w:t>0P</w:t>
            </w:r>
            <w:r>
              <w:rPr>
                <w:rFonts w:hint="eastAsia" w:ascii="宋体" w:hAnsi="宋体" w:eastAsia="宋体"/>
                <w:sz w:val="24"/>
              </w:rPr>
              <w:t>2-1、</w:t>
            </w:r>
            <w:r>
              <w:rPr>
                <w:rFonts w:hint="eastAsia" w:ascii="宋体" w:hAnsi="宋体" w:eastAsia="宋体"/>
                <w:sz w:val="24"/>
                <w:lang w:val="en-US" w:eastAsia="zh-CN"/>
              </w:rPr>
              <w:t>0P</w:t>
            </w:r>
            <w:r>
              <w:rPr>
                <w:rFonts w:hint="eastAsia" w:ascii="宋体" w:hAnsi="宋体" w:eastAsia="宋体"/>
                <w:sz w:val="24"/>
              </w:rPr>
              <w:t>2-</w:t>
            </w:r>
            <w:r>
              <w:rPr>
                <w:rFonts w:hint="eastAsia" w:ascii="宋体" w:hAnsi="宋体" w:eastAsia="宋体"/>
                <w:sz w:val="24"/>
                <w:lang w:val="en-US" w:eastAsia="zh-CN"/>
              </w:rPr>
              <w:t>3</w:t>
            </w:r>
            <w:r>
              <w:rPr>
                <w:rFonts w:hint="eastAsia" w:ascii="宋体" w:hAnsi="宋体" w:eastAsia="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tcPr>
          <w:p>
            <w:pPr>
              <w:pStyle w:val="2"/>
              <w:spacing w:line="460" w:lineRule="exact"/>
              <w:ind w:firstLine="0" w:firstLineChars="0"/>
              <w:rPr>
                <w:rFonts w:ascii="宋体" w:hAnsi="宋体" w:eastAsia="宋体"/>
                <w:sz w:val="24"/>
              </w:rPr>
            </w:pPr>
            <w:r>
              <w:rPr>
                <w:rFonts w:hint="eastAsia" w:ascii="宋体" w:hAnsi="宋体" w:eastAsia="宋体"/>
                <w:color w:val="242424"/>
                <w:sz w:val="24"/>
                <w:shd w:val="clear" w:color="auto" w:fill="FFFFFF"/>
              </w:rPr>
              <w:t>仓库堆边交货，买方自行组织搬运</w:t>
            </w:r>
            <w:bookmarkStart w:id="0" w:name="_GoBack"/>
            <w:bookmarkEnd w:id="0"/>
            <w:r>
              <w:rPr>
                <w:rFonts w:hint="eastAsia" w:ascii="宋体" w:hAnsi="宋体" w:eastAsia="宋体"/>
                <w:color w:val="242424"/>
                <w:sz w:val="24"/>
                <w:shd w:val="clear" w:color="auto" w:fill="FFFFFF"/>
              </w:rPr>
              <w:t>、运输车辆和包装等，出库过程中的所有费用由买方负责。按仓库工作时间出仓。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tcPr>
          <w:p>
            <w:pPr>
              <w:pStyle w:val="2"/>
              <w:spacing w:line="460" w:lineRule="exact"/>
              <w:ind w:firstLine="0" w:firstLineChars="0"/>
              <w:rPr>
                <w:rFonts w:ascii="宋体" w:hAnsi="宋体" w:eastAsia="宋体"/>
                <w:sz w:val="24"/>
              </w:rPr>
            </w:pPr>
            <w:r>
              <w:rPr>
                <w:rFonts w:hint="eastAsia" w:ascii="宋体" w:hAnsi="宋体" w:eastAsia="宋体"/>
                <w:sz w:val="24"/>
                <w:lang w:val="en-US" w:eastAsia="zh-CN"/>
              </w:rPr>
              <w:t xml:space="preserve">  </w:t>
            </w: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w:t>
            </w:r>
            <w:r>
              <w:rPr>
                <w:rFonts w:hint="eastAsia" w:ascii="宋体" w:hAnsi="宋体" w:eastAsia="宋体"/>
                <w:sz w:val="24"/>
                <w:lang w:val="en-US" w:eastAsia="zh-CN"/>
              </w:rPr>
              <w:t xml:space="preserve">  </w:t>
            </w: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w:t>
            </w:r>
          </w:p>
        </w:tc>
      </w:tr>
    </w:tbl>
    <w:p>
      <w:pPr>
        <w:autoSpaceDE w:val="0"/>
        <w:autoSpaceDN w:val="0"/>
        <w:adjustRightInd w:val="0"/>
        <w:spacing w:line="40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pPr>
        <w:autoSpaceDE w:val="0"/>
        <w:autoSpaceDN w:val="0"/>
        <w:adjustRightInd w:val="0"/>
        <w:spacing w:line="40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三、结算方式及期限：买方先支付稻谷货款后再办理提货，出库时需向卖方提供车辆信息证明材料或微信、短信等文字信息。买方在本合同签订之日起</w:t>
      </w:r>
      <w:r>
        <w:rPr>
          <w:rFonts w:hint="eastAsia" w:ascii="宋体" w:hAnsi="宋体" w:eastAsia="宋体" w:cs="宋体"/>
          <w:color w:val="auto"/>
          <w:kern w:val="0"/>
          <w:sz w:val="24"/>
          <w:lang w:val="en-US" w:eastAsia="zh-CN"/>
        </w:rPr>
        <w:t>45</w:t>
      </w:r>
      <w:r>
        <w:rPr>
          <w:rFonts w:hint="eastAsia" w:ascii="宋体" w:hAnsi="宋体" w:eastAsia="宋体" w:cs="宋体"/>
          <w:color w:val="auto"/>
          <w:kern w:val="0"/>
          <w:sz w:val="24"/>
        </w:rPr>
        <w:t>天内付清全部货款。货款资金以转账卖方指定的银行账号为准。</w:t>
      </w:r>
    </w:p>
    <w:p>
      <w:pPr>
        <w:autoSpaceDE w:val="0"/>
        <w:autoSpaceDN w:val="0"/>
        <w:adjustRightInd w:val="0"/>
        <w:spacing w:line="40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买方必须在中标之日起三日内与卖方签订合同，</w:t>
      </w:r>
      <w:r>
        <w:rPr>
          <w:rFonts w:hint="eastAsia" w:ascii="宋体" w:hAnsi="宋体" w:eastAsia="宋体" w:cs="宋体"/>
          <w:b w:val="0"/>
          <w:bCs w:val="0"/>
          <w:color w:val="auto"/>
          <w:kern w:val="0"/>
          <w:sz w:val="24"/>
        </w:rPr>
        <w:t>粮食全部</w:t>
      </w:r>
      <w:r>
        <w:rPr>
          <w:rFonts w:hint="eastAsia" w:ascii="宋体" w:hAnsi="宋体" w:eastAsia="宋体" w:cs="宋体"/>
          <w:b w:val="0"/>
          <w:bCs w:val="0"/>
          <w:color w:val="auto"/>
          <w:kern w:val="0"/>
          <w:sz w:val="24"/>
          <w:lang w:eastAsia="zh-CN"/>
        </w:rPr>
        <w:t>要在</w:t>
      </w:r>
      <w:r>
        <w:rPr>
          <w:rFonts w:hint="eastAsia" w:ascii="宋体" w:hAnsi="宋体" w:eastAsia="宋体" w:cs="宋体"/>
          <w:b w:val="0"/>
          <w:bCs w:val="0"/>
          <w:color w:val="auto"/>
          <w:sz w:val="24"/>
        </w:rPr>
        <w:t>交货期限</w:t>
      </w:r>
      <w:r>
        <w:rPr>
          <w:rFonts w:hint="eastAsia" w:ascii="宋体" w:hAnsi="宋体" w:eastAsia="宋体" w:cs="宋体"/>
          <w:b w:val="0"/>
          <w:bCs w:val="0"/>
          <w:color w:val="auto"/>
          <w:sz w:val="24"/>
          <w:lang w:eastAsia="zh-CN"/>
        </w:rPr>
        <w:t>内</w:t>
      </w:r>
      <w:r>
        <w:rPr>
          <w:rFonts w:hint="eastAsia" w:ascii="宋体" w:hAnsi="宋体" w:eastAsia="宋体" w:cs="宋体"/>
          <w:b w:val="0"/>
          <w:bCs w:val="0"/>
          <w:color w:val="auto"/>
          <w:kern w:val="0"/>
          <w:sz w:val="24"/>
        </w:rPr>
        <w:t>提货</w:t>
      </w:r>
      <w:r>
        <w:rPr>
          <w:rFonts w:hint="eastAsia" w:ascii="宋体" w:hAnsi="宋体" w:eastAsia="宋体" w:cs="宋体"/>
          <w:b w:val="0"/>
          <w:bCs w:val="0"/>
          <w:color w:val="auto"/>
          <w:kern w:val="0"/>
          <w:sz w:val="24"/>
          <w:lang w:eastAsia="zh-CN"/>
        </w:rPr>
        <w:t>出</w:t>
      </w:r>
      <w:r>
        <w:rPr>
          <w:rFonts w:hint="eastAsia" w:ascii="宋体" w:hAnsi="宋体" w:eastAsia="宋体" w:cs="宋体"/>
          <w:color w:val="auto"/>
          <w:kern w:val="0"/>
          <w:sz w:val="24"/>
          <w:lang w:eastAsia="zh-CN"/>
        </w:rPr>
        <w:t>仓</w:t>
      </w:r>
      <w:r>
        <w:rPr>
          <w:rFonts w:hint="eastAsia" w:ascii="宋体" w:hAnsi="宋体" w:eastAsia="宋体" w:cs="宋体"/>
          <w:color w:val="auto"/>
          <w:kern w:val="0"/>
          <w:sz w:val="24"/>
        </w:rPr>
        <w:t>完毕。</w:t>
      </w:r>
    </w:p>
    <w:p>
      <w:pPr>
        <w:autoSpaceDE w:val="0"/>
        <w:autoSpaceDN w:val="0"/>
        <w:adjustRightInd w:val="0"/>
        <w:spacing w:line="40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四、结算凭证：卖方提供本单位开出的发票凭证。</w:t>
      </w:r>
    </w:p>
    <w:p>
      <w:pPr>
        <w:autoSpaceDE w:val="0"/>
        <w:autoSpaceDN w:val="0"/>
        <w:adjustRightInd w:val="0"/>
        <w:spacing w:line="40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五、验收方式：数量以经技术监督部门检验合格的计量工具验斤为准。</w:t>
      </w:r>
    </w:p>
    <w:p>
      <w:pPr>
        <w:autoSpaceDE w:val="0"/>
        <w:autoSpaceDN w:val="0"/>
        <w:adjustRightInd w:val="0"/>
        <w:spacing w:line="40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六、费用承担：成交价为仓内提货价，出仓时由买方与第三方劳务装卸服务公司签订劳务费用支付合同及作业安全管理协议。买方在提货过程中要负责做好装运的安全生产工作，若发生安全事故，由买方承担全部责任。交货后费用由买方承担。卖方向买方收取1</w:t>
      </w:r>
      <w:r>
        <w:rPr>
          <w:rFonts w:hint="eastAsia" w:ascii="宋体" w:hAnsi="宋体" w:eastAsia="宋体" w:cs="宋体"/>
          <w:color w:val="auto"/>
          <w:kern w:val="0"/>
          <w:sz w:val="24"/>
          <w:lang w:val="en-US" w:eastAsia="zh-CN"/>
        </w:rPr>
        <w:t>5</w:t>
      </w:r>
      <w:r>
        <w:rPr>
          <w:rFonts w:hint="eastAsia" w:ascii="宋体" w:hAnsi="宋体" w:eastAsia="宋体" w:cs="宋体"/>
          <w:color w:val="auto"/>
          <w:kern w:val="0"/>
          <w:sz w:val="24"/>
        </w:rPr>
        <w:t>元/吨的出仓服务费（含过磅费、水电费、设备使用费、整理清扫费用等）。</w:t>
      </w:r>
    </w:p>
    <w:p>
      <w:pPr>
        <w:autoSpaceDE w:val="0"/>
        <w:autoSpaceDN w:val="0"/>
        <w:adjustRightInd w:val="0"/>
        <w:spacing w:line="40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七、违约责任：</w:t>
      </w:r>
      <w:r>
        <w:rPr>
          <w:rFonts w:hint="eastAsia" w:ascii="宋体" w:hAnsi="宋体" w:eastAsia="宋体" w:cs="宋体"/>
          <w:color w:val="auto"/>
          <w:sz w:val="24"/>
          <w:shd w:val="clear" w:color="auto" w:fill="FFFFFF"/>
        </w:rPr>
        <w:t>买卖双方须遵守当次《交易公告》。如有任一方违约，</w:t>
      </w:r>
      <w:r>
        <w:rPr>
          <w:rFonts w:hint="eastAsia" w:ascii="宋体" w:hAnsi="宋体" w:eastAsia="宋体" w:cs="宋体"/>
          <w:color w:val="auto"/>
          <w:kern w:val="0"/>
          <w:sz w:val="24"/>
        </w:rPr>
        <w:t>违约方违约部分保证金划归对方，并承担对方违约部分交易手续费，交易中心不承担经济责任。</w:t>
      </w:r>
    </w:p>
    <w:p>
      <w:pPr>
        <w:autoSpaceDE w:val="0"/>
        <w:autoSpaceDN w:val="0"/>
        <w:adjustRightInd w:val="0"/>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kern w:val="0"/>
          <w:sz w:val="24"/>
        </w:rPr>
        <w:t>八、争议解决：</w:t>
      </w:r>
    </w:p>
    <w:p>
      <w:pPr>
        <w:autoSpaceDE w:val="0"/>
        <w:autoSpaceDN w:val="0"/>
        <w:adjustRightInd w:val="0"/>
        <w:spacing w:line="40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1、出现不明确责任情况，买卖双方协商、交易中心协调解决。协商不成由卖方辖区人民法院按法律程序解决。</w:t>
      </w:r>
    </w:p>
    <w:p>
      <w:pPr>
        <w:autoSpaceDE w:val="0"/>
        <w:autoSpaceDN w:val="0"/>
        <w:adjustRightInd w:val="0"/>
        <w:spacing w:line="40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2、因政府相关部门的有关规定，造成卖方不能履约的，由交易中心监督退回买方已付货款</w:t>
      </w:r>
      <w:r>
        <w:rPr>
          <w:rFonts w:hint="eastAsia" w:ascii="宋体" w:hAnsi="宋体" w:eastAsia="宋体" w:cs="宋体"/>
          <w:color w:val="auto"/>
          <w:sz w:val="24"/>
        </w:rPr>
        <w:t>，卖方不承担违约责任。</w:t>
      </w:r>
      <w:r>
        <w:rPr>
          <w:rStyle w:val="12"/>
          <w:rFonts w:hint="eastAsia" w:ascii="宋体" w:hAnsi="宋体" w:eastAsia="宋体" w:cs="宋体"/>
          <w:color w:val="auto"/>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按合同约定提货的，</w:t>
      </w:r>
      <w:r>
        <w:rPr>
          <w:rFonts w:hint="eastAsia" w:ascii="宋体" w:hAnsi="宋体" w:eastAsia="宋体" w:cs="宋体"/>
          <w:color w:val="auto"/>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pPr>
        <w:autoSpaceDE w:val="0"/>
        <w:autoSpaceDN w:val="0"/>
        <w:adjustRightInd w:val="0"/>
        <w:spacing w:line="40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九、本合同自签订之日起生效。本合同履行完毕，双方结清费用时自然终止。</w:t>
      </w:r>
    </w:p>
    <w:p>
      <w:pPr>
        <w:autoSpaceDE w:val="0"/>
        <w:autoSpaceDN w:val="0"/>
        <w:adjustRightInd w:val="0"/>
        <w:spacing w:line="40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pPr>
        <w:autoSpaceDE w:val="0"/>
        <w:autoSpaceDN w:val="0"/>
        <w:adjustRightInd w:val="0"/>
        <w:spacing w:line="40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十一、买方人员、车辆及搬运工人必须服从卖方仓库的管理。</w:t>
      </w:r>
    </w:p>
    <w:p>
      <w:pPr>
        <w:autoSpaceDE w:val="0"/>
        <w:autoSpaceDN w:val="0"/>
        <w:adjustRightInd w:val="0"/>
        <w:spacing w:line="40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十二、合同签订地点：梅州市。</w:t>
      </w:r>
    </w:p>
    <w:p>
      <w:pPr>
        <w:autoSpaceDE w:val="0"/>
        <w:autoSpaceDN w:val="0"/>
        <w:adjustRightInd w:val="0"/>
        <w:spacing w:line="40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十三、本合同一式三份，买卖双方、确认单位各执一份。</w:t>
      </w:r>
    </w:p>
    <w:p>
      <w:pPr>
        <w:autoSpaceDE w:val="0"/>
        <w:autoSpaceDN w:val="0"/>
        <w:adjustRightInd w:val="0"/>
        <w:spacing w:line="400" w:lineRule="exact"/>
        <w:ind w:firstLine="480" w:firstLineChars="200"/>
        <w:rPr>
          <w:rFonts w:hint="eastAsia" w:ascii="宋体" w:hAnsi="宋体" w:eastAsia="宋体" w:cs="宋体"/>
          <w:color w:val="auto"/>
          <w:kern w:val="0"/>
          <w:sz w:val="24"/>
        </w:rPr>
      </w:pPr>
    </w:p>
    <w:p>
      <w:pPr>
        <w:autoSpaceDE w:val="0"/>
        <w:autoSpaceDN w:val="0"/>
        <w:adjustRightInd w:val="0"/>
        <w:spacing w:line="400" w:lineRule="exact"/>
        <w:rPr>
          <w:rFonts w:hint="eastAsia" w:ascii="宋体" w:hAnsi="宋体" w:eastAsia="宋体" w:cs="宋体"/>
          <w:color w:val="auto"/>
          <w:kern w:val="0"/>
          <w:sz w:val="24"/>
        </w:rPr>
      </w:pPr>
    </w:p>
    <w:p>
      <w:pPr>
        <w:autoSpaceDE w:val="0"/>
        <w:autoSpaceDN w:val="0"/>
        <w:adjustRightInd w:val="0"/>
        <w:spacing w:line="400" w:lineRule="exact"/>
        <w:rPr>
          <w:rFonts w:hint="eastAsia" w:ascii="宋体" w:hAnsi="宋体" w:eastAsia="宋体" w:cs="宋体"/>
          <w:color w:val="auto"/>
          <w:kern w:val="0"/>
          <w:sz w:val="24"/>
        </w:rPr>
      </w:pPr>
      <w:r>
        <w:rPr>
          <w:rFonts w:hint="eastAsia" w:ascii="宋体" w:hAnsi="宋体" w:eastAsia="宋体" w:cs="宋体"/>
          <w:color w:val="auto"/>
          <w:kern w:val="0"/>
          <w:sz w:val="24"/>
        </w:rPr>
        <w:t>买方单位（盖章）：                        卖方单位（盖章）：</w:t>
      </w:r>
    </w:p>
    <w:p>
      <w:pPr>
        <w:autoSpaceDE w:val="0"/>
        <w:autoSpaceDN w:val="0"/>
        <w:adjustRightInd w:val="0"/>
        <w:spacing w:line="400" w:lineRule="exact"/>
        <w:ind w:firstLine="480" w:firstLineChars="200"/>
        <w:rPr>
          <w:rFonts w:hint="eastAsia" w:ascii="宋体" w:hAnsi="宋体" w:eastAsia="宋体" w:cs="宋体"/>
          <w:color w:val="auto"/>
          <w:kern w:val="0"/>
          <w:sz w:val="24"/>
        </w:rPr>
      </w:pPr>
    </w:p>
    <w:p>
      <w:pPr>
        <w:autoSpaceDE w:val="0"/>
        <w:autoSpaceDN w:val="0"/>
        <w:adjustRightInd w:val="0"/>
        <w:spacing w:line="400" w:lineRule="exact"/>
        <w:rPr>
          <w:rFonts w:hint="eastAsia" w:ascii="宋体" w:hAnsi="宋体" w:eastAsia="宋体" w:cs="宋体"/>
          <w:color w:val="auto"/>
          <w:kern w:val="0"/>
          <w:sz w:val="24"/>
        </w:rPr>
      </w:pPr>
    </w:p>
    <w:p>
      <w:pPr>
        <w:autoSpaceDE w:val="0"/>
        <w:autoSpaceDN w:val="0"/>
        <w:adjustRightInd w:val="0"/>
        <w:spacing w:line="400" w:lineRule="exact"/>
        <w:rPr>
          <w:rFonts w:hint="eastAsia" w:ascii="宋体" w:hAnsi="宋体" w:eastAsia="宋体" w:cs="宋体"/>
          <w:color w:val="auto"/>
          <w:kern w:val="0"/>
          <w:sz w:val="24"/>
        </w:rPr>
      </w:pPr>
      <w:r>
        <w:rPr>
          <w:rFonts w:hint="eastAsia" w:ascii="宋体" w:hAnsi="宋体" w:eastAsia="宋体" w:cs="宋体"/>
          <w:color w:val="auto"/>
          <w:kern w:val="0"/>
          <w:sz w:val="24"/>
        </w:rPr>
        <w:t>法人或代理人（签字）：                    法人或代理人（签字）：</w:t>
      </w:r>
    </w:p>
    <w:p>
      <w:pPr>
        <w:spacing w:line="400" w:lineRule="exact"/>
        <w:rPr>
          <w:rFonts w:hint="eastAsia" w:ascii="宋体" w:hAnsi="宋体" w:eastAsia="宋体" w:cs="宋体"/>
          <w:color w:val="auto"/>
          <w:kern w:val="0"/>
          <w:sz w:val="24"/>
        </w:rPr>
      </w:pPr>
    </w:p>
    <w:p>
      <w:pPr>
        <w:spacing w:line="400" w:lineRule="exact"/>
        <w:rPr>
          <w:rFonts w:hint="eastAsia" w:ascii="宋体" w:hAnsi="宋体" w:eastAsia="宋体" w:cs="宋体"/>
          <w:color w:val="auto"/>
          <w:kern w:val="0"/>
          <w:sz w:val="24"/>
        </w:rPr>
      </w:pPr>
      <w:r>
        <w:rPr>
          <w:rFonts w:hint="eastAsia" w:ascii="宋体" w:hAnsi="宋体" w:eastAsia="宋体" w:cs="宋体"/>
          <w:color w:val="auto"/>
          <w:kern w:val="0"/>
          <w:sz w:val="24"/>
        </w:rPr>
        <w:t>卖方收货款账户</w:t>
      </w:r>
    </w:p>
    <w:p>
      <w:pPr>
        <w:autoSpaceDE w:val="0"/>
        <w:autoSpaceDN w:val="0"/>
        <w:adjustRightInd w:val="0"/>
        <w:spacing w:line="400" w:lineRule="exact"/>
        <w:rPr>
          <w:rFonts w:hint="eastAsia" w:ascii="宋体" w:hAnsi="宋体" w:eastAsia="宋体" w:cs="宋体"/>
          <w:color w:val="auto"/>
          <w:kern w:val="0"/>
          <w:sz w:val="24"/>
        </w:rPr>
      </w:pPr>
      <w:r>
        <w:rPr>
          <w:rFonts w:hint="eastAsia" w:ascii="宋体" w:hAnsi="宋体" w:eastAsia="宋体" w:cs="宋体"/>
          <w:color w:val="auto"/>
          <w:kern w:val="0"/>
          <w:sz w:val="24"/>
        </w:rPr>
        <w:t>收款单位：五华县琴江粮油收储管理有限公司</w:t>
      </w:r>
    </w:p>
    <w:p>
      <w:pPr>
        <w:autoSpaceDE w:val="0"/>
        <w:autoSpaceDN w:val="0"/>
        <w:adjustRightInd w:val="0"/>
        <w:spacing w:line="400" w:lineRule="exact"/>
        <w:rPr>
          <w:rFonts w:hint="eastAsia" w:ascii="宋体" w:hAnsi="宋体" w:eastAsia="宋体" w:cs="宋体"/>
          <w:color w:val="auto"/>
          <w:kern w:val="0"/>
          <w:sz w:val="24"/>
        </w:rPr>
      </w:pPr>
      <w:r>
        <w:rPr>
          <w:rFonts w:hint="eastAsia" w:ascii="宋体" w:hAnsi="宋体" w:eastAsia="宋体" w:cs="宋体"/>
          <w:color w:val="auto"/>
          <w:kern w:val="0"/>
          <w:sz w:val="24"/>
        </w:rPr>
        <w:t>开户行：中国农业发展银行五华县支行</w:t>
      </w:r>
    </w:p>
    <w:p>
      <w:pPr>
        <w:autoSpaceDE w:val="0"/>
        <w:autoSpaceDN w:val="0"/>
        <w:adjustRightInd w:val="0"/>
        <w:spacing w:line="400" w:lineRule="exact"/>
        <w:rPr>
          <w:rFonts w:hint="eastAsia" w:ascii="宋体" w:hAnsi="宋体" w:eastAsia="宋体" w:cs="宋体"/>
          <w:color w:val="auto"/>
          <w:kern w:val="0"/>
          <w:sz w:val="24"/>
        </w:rPr>
      </w:pPr>
      <w:r>
        <w:rPr>
          <w:rFonts w:hint="eastAsia" w:ascii="宋体" w:hAnsi="宋体" w:eastAsia="宋体" w:cs="宋体"/>
          <w:color w:val="auto"/>
          <w:kern w:val="0"/>
          <w:sz w:val="24"/>
        </w:rPr>
        <w:t>帐号:20344142400100000001801</w:t>
      </w:r>
    </w:p>
    <w:p>
      <w:pPr>
        <w:autoSpaceDE w:val="0"/>
        <w:autoSpaceDN w:val="0"/>
        <w:adjustRightInd w:val="0"/>
        <w:spacing w:line="400" w:lineRule="exact"/>
        <w:rPr>
          <w:rFonts w:hint="eastAsia" w:ascii="宋体" w:hAnsi="宋体" w:eastAsia="宋体" w:cs="宋体"/>
          <w:color w:val="auto"/>
          <w:kern w:val="0"/>
          <w:sz w:val="24"/>
        </w:rPr>
      </w:pPr>
      <w:r>
        <w:rPr>
          <w:rFonts w:hint="eastAsia" w:ascii="宋体" w:hAnsi="宋体" w:eastAsia="宋体" w:cs="宋体"/>
          <w:color w:val="auto"/>
          <w:kern w:val="0"/>
          <w:sz w:val="24"/>
        </w:rPr>
        <w:t>电话：0753-4420713</w:t>
      </w:r>
    </w:p>
    <w:p>
      <w:pPr>
        <w:spacing w:line="400" w:lineRule="exact"/>
        <w:rPr>
          <w:rFonts w:hint="eastAsia" w:ascii="宋体" w:hAnsi="宋体" w:eastAsia="宋体" w:cs="宋体"/>
          <w:color w:val="auto"/>
          <w:kern w:val="0"/>
          <w:sz w:val="24"/>
        </w:rPr>
      </w:pPr>
    </w:p>
    <w:p>
      <w:pPr>
        <w:spacing w:line="400" w:lineRule="exact"/>
        <w:rPr>
          <w:rFonts w:hint="eastAsia" w:ascii="宋体" w:hAnsi="宋体" w:eastAsia="宋体" w:cs="宋体"/>
          <w:color w:val="auto"/>
          <w:sz w:val="24"/>
        </w:rPr>
      </w:pPr>
      <w:r>
        <w:rPr>
          <w:rFonts w:hint="eastAsia" w:ascii="宋体" w:hAnsi="宋体" w:eastAsia="宋体" w:cs="宋体"/>
          <w:color w:val="auto"/>
          <w:sz w:val="24"/>
        </w:rPr>
        <w:t>确认单位：梅州市嘉应粮食交易中心有限公司</w:t>
      </w:r>
    </w:p>
    <w:p>
      <w:pPr>
        <w:spacing w:line="400" w:lineRule="exact"/>
        <w:rPr>
          <w:rFonts w:hint="eastAsia" w:ascii="宋体" w:hAnsi="宋体" w:eastAsia="宋体" w:cs="宋体"/>
          <w:color w:val="auto"/>
          <w:sz w:val="24"/>
        </w:rPr>
      </w:pPr>
      <w:r>
        <w:rPr>
          <w:rFonts w:hint="eastAsia" w:ascii="宋体" w:hAnsi="宋体" w:eastAsia="宋体" w:cs="宋体"/>
          <w:color w:val="auto"/>
          <w:kern w:val="0"/>
          <w:sz w:val="24"/>
        </w:rPr>
        <w:t>电话（传真）</w:t>
      </w:r>
      <w:r>
        <w:rPr>
          <w:rFonts w:hint="eastAsia" w:ascii="宋体" w:hAnsi="宋体" w:eastAsia="宋体" w:cs="宋体"/>
          <w:color w:val="auto"/>
          <w:sz w:val="24"/>
        </w:rPr>
        <w:t xml:space="preserve">：0753-2128232    0753-2128231     </w:t>
      </w:r>
    </w:p>
    <w:p>
      <w:pPr>
        <w:spacing w:line="400" w:lineRule="exact"/>
        <w:jc w:val="right"/>
        <w:rPr>
          <w:rFonts w:hint="eastAsia" w:ascii="宋体" w:hAnsi="宋体" w:eastAsia="宋体" w:cs="宋体"/>
          <w:color w:val="auto"/>
          <w:sz w:val="24"/>
        </w:rPr>
      </w:pPr>
    </w:p>
    <w:p>
      <w:pPr>
        <w:spacing w:line="400" w:lineRule="exact"/>
        <w:jc w:val="right"/>
        <w:rPr>
          <w:rFonts w:hint="eastAsia" w:ascii="宋体" w:hAnsi="宋体" w:eastAsia="宋体" w:cs="宋体"/>
          <w:color w:val="auto"/>
          <w:sz w:val="24"/>
        </w:rPr>
      </w:pPr>
      <w:r>
        <w:rPr>
          <w:rFonts w:hint="eastAsia" w:ascii="宋体" w:hAnsi="宋体" w:eastAsia="宋体" w:cs="宋体"/>
          <w:color w:val="auto"/>
          <w:sz w:val="24"/>
        </w:rPr>
        <w:t>202</w:t>
      </w:r>
      <w:r>
        <w:rPr>
          <w:rFonts w:hint="eastAsia" w:ascii="宋体" w:hAnsi="宋体" w:eastAsia="宋体" w:cs="宋体"/>
          <w:color w:val="auto"/>
          <w:sz w:val="24"/>
          <w:lang w:val="en-US" w:eastAsia="zh-CN"/>
        </w:rPr>
        <w:t>4</w:t>
      </w:r>
      <w:r>
        <w:rPr>
          <w:rFonts w:hint="eastAsia" w:ascii="宋体" w:hAnsi="宋体" w:eastAsia="宋体" w:cs="宋体"/>
          <w:color w:val="auto"/>
          <w:sz w:val="24"/>
        </w:rPr>
        <w:t>年</w:t>
      </w:r>
      <w:r>
        <w:rPr>
          <w:rFonts w:hint="eastAsia" w:ascii="宋体" w:hAnsi="宋体" w:cs="宋体"/>
          <w:color w:val="auto"/>
          <w:sz w:val="24"/>
          <w:lang w:val="en-US" w:eastAsia="zh-CN"/>
        </w:rPr>
        <w:t>XX</w:t>
      </w:r>
      <w:r>
        <w:rPr>
          <w:rFonts w:hint="eastAsia" w:ascii="宋体" w:hAnsi="宋体" w:eastAsia="宋体" w:cs="宋体"/>
          <w:color w:val="auto"/>
          <w:sz w:val="24"/>
        </w:rPr>
        <w:t>月</w:t>
      </w:r>
      <w:r>
        <w:rPr>
          <w:rFonts w:hint="eastAsia" w:ascii="宋体" w:hAnsi="宋体" w:cs="宋体"/>
          <w:color w:val="auto"/>
          <w:sz w:val="24"/>
          <w:lang w:val="en-US" w:eastAsia="zh-CN"/>
        </w:rPr>
        <w:t>XX</w:t>
      </w:r>
      <w:r>
        <w:rPr>
          <w:rFonts w:hint="eastAsia" w:ascii="宋体" w:hAnsi="宋体" w:eastAsia="宋体" w:cs="宋体"/>
          <w:color w:val="auto"/>
          <w:sz w:val="24"/>
        </w:rPr>
        <w:t>日</w:t>
      </w:r>
    </w:p>
    <w:p>
      <w:pPr>
        <w:spacing w:line="400" w:lineRule="exact"/>
        <w:jc w:val="right"/>
        <w:rPr>
          <w:rFonts w:ascii="宋体" w:hAnsi="宋体"/>
          <w:sz w:val="24"/>
        </w:rPr>
      </w:pPr>
    </w:p>
    <w:p>
      <w:pPr>
        <w:jc w:val="center"/>
        <w:rPr>
          <w:rFonts w:hint="eastAsia" w:ascii="方正仿宋简体" w:hAnsi="方正仿宋简体" w:eastAsia="方正仿宋简体" w:cs="方正仿宋简体"/>
          <w:b w:val="0"/>
          <w:bCs/>
          <w:color w:val="auto"/>
          <w:sz w:val="44"/>
          <w:szCs w:val="44"/>
        </w:rPr>
      </w:pPr>
      <w:r>
        <w:rPr>
          <w:rFonts w:hint="eastAsia" w:ascii="方正小标宋简体" w:hAnsi="方正小标宋简体" w:eastAsia="方正小标宋简体" w:cs="方正小标宋简体"/>
          <w:b w:val="0"/>
          <w:bCs/>
          <w:color w:val="auto"/>
          <w:sz w:val="44"/>
          <w:szCs w:val="44"/>
        </w:rPr>
        <w:t>稻谷销售出库质量安全约定责任书</w:t>
      </w:r>
    </w:p>
    <w:p>
      <w:pPr>
        <w:rPr>
          <w:rFonts w:hint="eastAsia" w:ascii="方正仿宋简体" w:hAnsi="方正仿宋简体" w:eastAsia="方正仿宋简体" w:cs="方正仿宋简体"/>
          <w:color w:val="auto"/>
          <w:sz w:val="36"/>
          <w:szCs w:val="36"/>
        </w:rPr>
      </w:pPr>
    </w:p>
    <w:p>
      <w:pPr>
        <w:tabs>
          <w:tab w:val="left" w:pos="3336"/>
        </w:tabs>
        <w:spacing w:line="560" w:lineRule="exact"/>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买方：</w:t>
      </w:r>
    </w:p>
    <w:p>
      <w:pPr>
        <w:tabs>
          <w:tab w:val="left" w:pos="3336"/>
        </w:tabs>
        <w:spacing w:line="560" w:lineRule="exact"/>
        <w:rPr>
          <w:rFonts w:hint="eastAsia" w:ascii="方正仿宋简体" w:hAnsi="方正仿宋简体" w:eastAsia="方正仿宋简体" w:cs="方正仿宋简体"/>
          <w:color w:val="auto"/>
          <w:kern w:val="0"/>
          <w:sz w:val="32"/>
          <w:szCs w:val="32"/>
        </w:rPr>
      </w:pPr>
      <w:r>
        <w:rPr>
          <w:rFonts w:hint="eastAsia" w:ascii="方正仿宋简体" w:hAnsi="方正仿宋简体" w:eastAsia="方正仿宋简体" w:cs="方正仿宋简体"/>
          <w:color w:val="auto"/>
          <w:sz w:val="32"/>
          <w:szCs w:val="32"/>
        </w:rPr>
        <w:t>卖方：五华县琴江粮油收储管理有限公司</w:t>
      </w:r>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根据《梅州市发展和改革局转发广东省粮食和物资储备局关于进步加强政府储备粮食质量安全管理的通知》（梅市发改〔2022〕146号）要求，与购买企业约定食品安全责任，避免食品安全风险。为严格落实粮食质量安全主体责任，严格执行国家粮食质量安全管理规定，切实保障全市地方储备粮质量安全，明确食品安全责任，双方共同约定如下：</w:t>
      </w:r>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1、买方单位于202</w:t>
      </w:r>
      <w:r>
        <w:rPr>
          <w:rFonts w:hint="eastAsia" w:ascii="方正仿宋简体" w:hAnsi="方正仿宋简体" w:eastAsia="方正仿宋简体" w:cs="方正仿宋简体"/>
          <w:color w:val="auto"/>
          <w:sz w:val="32"/>
          <w:szCs w:val="32"/>
          <w:lang w:val="en-US" w:eastAsia="zh-CN"/>
        </w:rPr>
        <w:t>4</w:t>
      </w:r>
      <w:r>
        <w:rPr>
          <w:rFonts w:hint="eastAsia" w:ascii="方正仿宋简体" w:hAnsi="方正仿宋简体" w:eastAsia="方正仿宋简体" w:cs="方正仿宋简体"/>
          <w:color w:val="auto"/>
          <w:sz w:val="32"/>
          <w:szCs w:val="32"/>
        </w:rPr>
        <w:t>年XX月XX日在梅州市嘉应粮食交易中心有限公司竞价中标稻谷XXX吨，合同编号：XXX</w:t>
      </w:r>
      <w:r>
        <w:rPr>
          <w:rFonts w:hint="eastAsia" w:ascii="方正仿宋简体" w:hAnsi="方正仿宋简体" w:eastAsia="方正仿宋简体" w:cs="方正仿宋简体"/>
          <w:color w:val="auto"/>
          <w:sz w:val="32"/>
          <w:szCs w:val="32"/>
          <w:lang w:val="en-US" w:eastAsia="zh-CN"/>
        </w:rPr>
        <w:t>，</w:t>
      </w:r>
      <w:r>
        <w:rPr>
          <w:rFonts w:hint="eastAsia" w:ascii="方正仿宋简体" w:hAnsi="方正仿宋简体" w:eastAsia="方正仿宋简体" w:cs="方正仿宋简体"/>
          <w:color w:val="auto"/>
          <w:sz w:val="32"/>
          <w:szCs w:val="32"/>
        </w:rPr>
        <w:t>卖方所销售出库的稻谷（三级）各项主要质量</w:t>
      </w:r>
      <w:r>
        <w:rPr>
          <w:rFonts w:hint="eastAsia" w:ascii="方正仿宋简体" w:hAnsi="方正仿宋简体" w:eastAsia="方正仿宋简体" w:cs="方正仿宋简体"/>
          <w:color w:val="auto"/>
          <w:sz w:val="32"/>
          <w:szCs w:val="32"/>
          <w:lang w:eastAsia="zh-CN"/>
        </w:rPr>
        <w:t>和</w:t>
      </w:r>
      <w:r>
        <w:rPr>
          <w:rFonts w:hint="eastAsia" w:ascii="方正仿宋简体" w:hAnsi="方正仿宋简体" w:eastAsia="方正仿宋简体" w:cs="方正仿宋简体"/>
          <w:color w:val="auto"/>
          <w:sz w:val="32"/>
          <w:szCs w:val="32"/>
        </w:rPr>
        <w:t>食品安全指标</w:t>
      </w:r>
      <w:r>
        <w:rPr>
          <w:rFonts w:hint="eastAsia" w:ascii="方正仿宋简体" w:hAnsi="方正仿宋简体" w:eastAsia="方正仿宋简体" w:cs="方正仿宋简体"/>
          <w:color w:val="auto"/>
          <w:sz w:val="32"/>
          <w:szCs w:val="32"/>
          <w:lang w:eastAsia="zh-CN"/>
        </w:rPr>
        <w:t>、</w:t>
      </w:r>
      <w:r>
        <w:rPr>
          <w:rFonts w:hint="eastAsia" w:ascii="方正仿宋简体" w:hAnsi="方正仿宋简体" w:eastAsia="方正仿宋简体" w:cs="方正仿宋简体"/>
          <w:color w:val="auto"/>
          <w:sz w:val="32"/>
          <w:szCs w:val="32"/>
        </w:rPr>
        <w:t>粮食卫生标准均符合国家标准。</w:t>
      </w:r>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2、买方如果将稻谷再转卖给其他客户或作为食品原料加工，在转卖或加工过程中不容许添加、混合、掺杂其他品质的稻谷，加工企业要严格执行《食品安全法》有关规定，如出现食品安全责任，与卖方无关。</w:t>
      </w:r>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特此约定。</w:t>
      </w:r>
    </w:p>
    <w:p>
      <w:pPr>
        <w:tabs>
          <w:tab w:val="left" w:pos="3336"/>
        </w:tabs>
        <w:rPr>
          <w:rFonts w:hint="eastAsia" w:ascii="方正仿宋简体" w:hAnsi="方正仿宋简体" w:eastAsia="方正仿宋简体" w:cs="方正仿宋简体"/>
          <w:color w:val="auto"/>
          <w:sz w:val="32"/>
          <w:szCs w:val="32"/>
        </w:rPr>
      </w:pPr>
    </w:p>
    <w:p>
      <w:pPr>
        <w:tabs>
          <w:tab w:val="left" w:pos="3336"/>
        </w:tabs>
        <w:spacing w:line="560" w:lineRule="exact"/>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 xml:space="preserve">买方单位（盖章）：         </w:t>
      </w:r>
      <w:r>
        <w:rPr>
          <w:rFonts w:hint="eastAsia" w:ascii="方正仿宋简体" w:hAnsi="方正仿宋简体" w:eastAsia="方正仿宋简体" w:cs="方正仿宋简体"/>
          <w:color w:val="auto"/>
          <w:sz w:val="32"/>
          <w:szCs w:val="32"/>
          <w:lang w:val="en-US" w:eastAsia="zh-CN"/>
        </w:rPr>
        <w:t xml:space="preserve">    </w:t>
      </w:r>
      <w:r>
        <w:rPr>
          <w:rFonts w:hint="eastAsia" w:ascii="方正仿宋简体" w:hAnsi="方正仿宋简体" w:eastAsia="方正仿宋简体" w:cs="方正仿宋简体"/>
          <w:color w:val="auto"/>
          <w:sz w:val="32"/>
          <w:szCs w:val="32"/>
        </w:rPr>
        <w:t xml:space="preserve">卖方单位（盖章）： </w:t>
      </w:r>
    </w:p>
    <w:p>
      <w:pPr>
        <w:tabs>
          <w:tab w:val="left" w:pos="3336"/>
        </w:tabs>
        <w:spacing w:line="560" w:lineRule="exact"/>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法人或代理人（签字）：</w:t>
      </w:r>
      <w:r>
        <w:rPr>
          <w:rFonts w:hint="eastAsia" w:ascii="方正仿宋简体" w:hAnsi="方正仿宋简体" w:eastAsia="方正仿宋简体" w:cs="方正仿宋简体"/>
          <w:color w:val="auto"/>
          <w:sz w:val="32"/>
          <w:szCs w:val="32"/>
        </w:rPr>
        <w:tab/>
      </w:r>
      <w:r>
        <w:rPr>
          <w:rFonts w:hint="eastAsia" w:ascii="方正仿宋简体" w:hAnsi="方正仿宋简体" w:eastAsia="方正仿宋简体" w:cs="方正仿宋简体"/>
          <w:color w:val="auto"/>
          <w:sz w:val="32"/>
          <w:szCs w:val="32"/>
          <w:lang w:val="en-US" w:eastAsia="zh-CN"/>
        </w:rPr>
        <w:t xml:space="preserve">      </w:t>
      </w:r>
      <w:r>
        <w:rPr>
          <w:rFonts w:hint="eastAsia" w:ascii="方正仿宋简体" w:hAnsi="方正仿宋简体" w:eastAsia="方正仿宋简体" w:cs="方正仿宋简体"/>
          <w:color w:val="auto"/>
          <w:sz w:val="32"/>
          <w:szCs w:val="32"/>
        </w:rPr>
        <w:t>法人或代理人（签字）：</w:t>
      </w:r>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p>
    <w:p>
      <w:pPr>
        <w:tabs>
          <w:tab w:val="left" w:pos="3336"/>
        </w:tabs>
        <w:spacing w:line="560" w:lineRule="exact"/>
        <w:ind w:firstLine="3200" w:firstLineChars="1000"/>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202</w:t>
      </w:r>
      <w:r>
        <w:rPr>
          <w:rFonts w:hint="eastAsia" w:ascii="方正仿宋简体" w:hAnsi="方正仿宋简体" w:eastAsia="方正仿宋简体" w:cs="方正仿宋简体"/>
          <w:color w:val="auto"/>
          <w:sz w:val="32"/>
          <w:szCs w:val="32"/>
          <w:lang w:val="en-US" w:eastAsia="zh-CN"/>
        </w:rPr>
        <w:t>4</w:t>
      </w:r>
      <w:r>
        <w:rPr>
          <w:rFonts w:hint="eastAsia" w:ascii="方正仿宋简体" w:hAnsi="方正仿宋简体" w:eastAsia="方正仿宋简体" w:cs="方正仿宋简体"/>
          <w:color w:val="auto"/>
          <w:sz w:val="32"/>
          <w:szCs w:val="32"/>
        </w:rPr>
        <w:t>年</w:t>
      </w:r>
      <w:r>
        <w:rPr>
          <w:rFonts w:hint="eastAsia" w:ascii="方正仿宋简体" w:hAnsi="方正仿宋简体" w:eastAsia="方正仿宋简体" w:cs="方正仿宋简体"/>
          <w:color w:val="auto"/>
          <w:sz w:val="32"/>
          <w:szCs w:val="32"/>
          <w:lang w:val="en-US" w:eastAsia="zh-CN"/>
        </w:rPr>
        <w:t xml:space="preserve">  </w:t>
      </w:r>
      <w:r>
        <w:rPr>
          <w:rFonts w:hint="eastAsia" w:ascii="方正仿宋简体" w:hAnsi="方正仿宋简体" w:eastAsia="方正仿宋简体" w:cs="方正仿宋简体"/>
          <w:color w:val="auto"/>
          <w:sz w:val="32"/>
          <w:szCs w:val="32"/>
        </w:rPr>
        <w:t>月</w:t>
      </w:r>
      <w:r>
        <w:rPr>
          <w:rFonts w:hint="eastAsia" w:ascii="方正仿宋简体" w:hAnsi="方正仿宋简体" w:eastAsia="方正仿宋简体" w:cs="方正仿宋简体"/>
          <w:color w:val="auto"/>
          <w:sz w:val="32"/>
          <w:szCs w:val="32"/>
          <w:lang w:val="en-US" w:eastAsia="zh-CN"/>
        </w:rPr>
        <w:t xml:space="preserve">   </w:t>
      </w:r>
      <w:r>
        <w:rPr>
          <w:rFonts w:hint="eastAsia" w:ascii="方正仿宋简体" w:hAnsi="方正仿宋简体" w:eastAsia="方正仿宋简体" w:cs="方正仿宋简体"/>
          <w:color w:val="auto"/>
          <w:sz w:val="32"/>
          <w:szCs w:val="32"/>
        </w:rPr>
        <w:t>日</w:t>
      </w:r>
    </w:p>
    <w:p>
      <w:pPr>
        <w:tabs>
          <w:tab w:val="left" w:pos="4676"/>
        </w:tabs>
        <w:ind w:firstLine="3120" w:firstLineChars="1300"/>
        <w:rPr>
          <w:rFonts w:hint="eastAsia" w:ascii="方正仿宋简体" w:hAnsi="方正仿宋简体" w:eastAsia="方正仿宋简体" w:cs="方正仿宋简体"/>
          <w:color w:val="auto"/>
          <w:sz w:val="24"/>
        </w:rPr>
      </w:pPr>
    </w:p>
    <w:sectPr>
      <w:footerReference r:id="rId3" w:type="default"/>
      <w:pgSz w:w="11907" w:h="16840"/>
      <w:pgMar w:top="124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2</w:t>
    </w:r>
    <w:r>
      <w:rPr>
        <w:lang w:val="zh-CN"/>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QzNWNjZmMwOGZkY2FmNjMzMDM1ZTk0ODJlZGM0NzIifQ=="/>
  </w:docVars>
  <w:rsids>
    <w:rsidRoot w:val="00F312FE"/>
    <w:rsid w:val="00025CFC"/>
    <w:rsid w:val="00027843"/>
    <w:rsid w:val="0003521E"/>
    <w:rsid w:val="000421E9"/>
    <w:rsid w:val="000555A5"/>
    <w:rsid w:val="00073830"/>
    <w:rsid w:val="000809AB"/>
    <w:rsid w:val="00085FF8"/>
    <w:rsid w:val="000A0A6C"/>
    <w:rsid w:val="000A128F"/>
    <w:rsid w:val="000A3C43"/>
    <w:rsid w:val="000A7D08"/>
    <w:rsid w:val="000D1210"/>
    <w:rsid w:val="000E153C"/>
    <w:rsid w:val="000F76F9"/>
    <w:rsid w:val="000F77F6"/>
    <w:rsid w:val="00101E5E"/>
    <w:rsid w:val="001103E0"/>
    <w:rsid w:val="00115C05"/>
    <w:rsid w:val="0012051A"/>
    <w:rsid w:val="001213DD"/>
    <w:rsid w:val="0012586A"/>
    <w:rsid w:val="00141CB6"/>
    <w:rsid w:val="00142D27"/>
    <w:rsid w:val="00143CF4"/>
    <w:rsid w:val="001454FD"/>
    <w:rsid w:val="00152E18"/>
    <w:rsid w:val="00180CB0"/>
    <w:rsid w:val="001829F4"/>
    <w:rsid w:val="00193554"/>
    <w:rsid w:val="001A27F5"/>
    <w:rsid w:val="001B4B04"/>
    <w:rsid w:val="001C4032"/>
    <w:rsid w:val="001C6D76"/>
    <w:rsid w:val="001D1C12"/>
    <w:rsid w:val="001D30EE"/>
    <w:rsid w:val="001D7909"/>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552A5"/>
    <w:rsid w:val="00376E7B"/>
    <w:rsid w:val="00384C74"/>
    <w:rsid w:val="00385DE9"/>
    <w:rsid w:val="00391681"/>
    <w:rsid w:val="003A0AD7"/>
    <w:rsid w:val="003A7669"/>
    <w:rsid w:val="003B41D7"/>
    <w:rsid w:val="003C1C2A"/>
    <w:rsid w:val="003C71B3"/>
    <w:rsid w:val="003C74DC"/>
    <w:rsid w:val="003C77AC"/>
    <w:rsid w:val="003F3F2B"/>
    <w:rsid w:val="003F7F8F"/>
    <w:rsid w:val="0040324D"/>
    <w:rsid w:val="0043009F"/>
    <w:rsid w:val="00432E9B"/>
    <w:rsid w:val="00440507"/>
    <w:rsid w:val="00445652"/>
    <w:rsid w:val="00446417"/>
    <w:rsid w:val="004547EC"/>
    <w:rsid w:val="00456509"/>
    <w:rsid w:val="00462362"/>
    <w:rsid w:val="0047048B"/>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682A"/>
    <w:rsid w:val="00656087"/>
    <w:rsid w:val="00662D7E"/>
    <w:rsid w:val="00672D54"/>
    <w:rsid w:val="0068470D"/>
    <w:rsid w:val="00687DE5"/>
    <w:rsid w:val="00693594"/>
    <w:rsid w:val="0069545C"/>
    <w:rsid w:val="006A1D59"/>
    <w:rsid w:val="006A6ECA"/>
    <w:rsid w:val="006B15EB"/>
    <w:rsid w:val="006B1760"/>
    <w:rsid w:val="006B499C"/>
    <w:rsid w:val="006C6E8B"/>
    <w:rsid w:val="006D3CE1"/>
    <w:rsid w:val="006D5986"/>
    <w:rsid w:val="006D77C5"/>
    <w:rsid w:val="006D7D1A"/>
    <w:rsid w:val="006E064B"/>
    <w:rsid w:val="006E3B7D"/>
    <w:rsid w:val="00707919"/>
    <w:rsid w:val="00725837"/>
    <w:rsid w:val="0073381E"/>
    <w:rsid w:val="00735F40"/>
    <w:rsid w:val="00742AE8"/>
    <w:rsid w:val="00752FF3"/>
    <w:rsid w:val="00753357"/>
    <w:rsid w:val="00762973"/>
    <w:rsid w:val="007641CC"/>
    <w:rsid w:val="00776DEA"/>
    <w:rsid w:val="00792036"/>
    <w:rsid w:val="00793007"/>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41DF4"/>
    <w:rsid w:val="008425A0"/>
    <w:rsid w:val="008436D2"/>
    <w:rsid w:val="008447B2"/>
    <w:rsid w:val="0085090E"/>
    <w:rsid w:val="0085662B"/>
    <w:rsid w:val="00861700"/>
    <w:rsid w:val="00866D4D"/>
    <w:rsid w:val="0087072A"/>
    <w:rsid w:val="008724BA"/>
    <w:rsid w:val="00872AE9"/>
    <w:rsid w:val="008743F0"/>
    <w:rsid w:val="008812E3"/>
    <w:rsid w:val="00895FF9"/>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47D1A"/>
    <w:rsid w:val="009548DB"/>
    <w:rsid w:val="00955D73"/>
    <w:rsid w:val="00965913"/>
    <w:rsid w:val="00981253"/>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6FFD"/>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D0BE5"/>
    <w:rsid w:val="00CD33E5"/>
    <w:rsid w:val="00CE34C5"/>
    <w:rsid w:val="00CE5793"/>
    <w:rsid w:val="00CF61FF"/>
    <w:rsid w:val="00D01C29"/>
    <w:rsid w:val="00D15F5E"/>
    <w:rsid w:val="00D21C08"/>
    <w:rsid w:val="00D26B37"/>
    <w:rsid w:val="00D27512"/>
    <w:rsid w:val="00D33AB3"/>
    <w:rsid w:val="00D518E1"/>
    <w:rsid w:val="00D53DF9"/>
    <w:rsid w:val="00D60F35"/>
    <w:rsid w:val="00D73072"/>
    <w:rsid w:val="00D77CD8"/>
    <w:rsid w:val="00D91E52"/>
    <w:rsid w:val="00D9565F"/>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4DD9"/>
    <w:rsid w:val="00E42DEC"/>
    <w:rsid w:val="00E45D75"/>
    <w:rsid w:val="00E4660D"/>
    <w:rsid w:val="00E51600"/>
    <w:rsid w:val="00E519A9"/>
    <w:rsid w:val="00E5618D"/>
    <w:rsid w:val="00E56FEB"/>
    <w:rsid w:val="00E6088D"/>
    <w:rsid w:val="00E62853"/>
    <w:rsid w:val="00E63DB4"/>
    <w:rsid w:val="00E8275B"/>
    <w:rsid w:val="00E933AF"/>
    <w:rsid w:val="00E97902"/>
    <w:rsid w:val="00EA4F75"/>
    <w:rsid w:val="00EA56D2"/>
    <w:rsid w:val="00EB0295"/>
    <w:rsid w:val="00EC18BF"/>
    <w:rsid w:val="00EE1AE2"/>
    <w:rsid w:val="00EE442C"/>
    <w:rsid w:val="00F17AE3"/>
    <w:rsid w:val="00F312FE"/>
    <w:rsid w:val="00F3673D"/>
    <w:rsid w:val="00F379E8"/>
    <w:rsid w:val="00F46516"/>
    <w:rsid w:val="00F57BB4"/>
    <w:rsid w:val="00F60079"/>
    <w:rsid w:val="00F75A0F"/>
    <w:rsid w:val="00F85424"/>
    <w:rsid w:val="00F87957"/>
    <w:rsid w:val="00F93B96"/>
    <w:rsid w:val="00FA113E"/>
    <w:rsid w:val="00FA1CED"/>
    <w:rsid w:val="00FA6F34"/>
    <w:rsid w:val="00FA7528"/>
    <w:rsid w:val="00FB0C00"/>
    <w:rsid w:val="00FB42A4"/>
    <w:rsid w:val="00FB6152"/>
    <w:rsid w:val="00FB6C2E"/>
    <w:rsid w:val="00FD661A"/>
    <w:rsid w:val="00FE6BF1"/>
    <w:rsid w:val="00FE7641"/>
    <w:rsid w:val="00FF76FB"/>
    <w:rsid w:val="01235E12"/>
    <w:rsid w:val="19B25393"/>
    <w:rsid w:val="1A9B33DC"/>
    <w:rsid w:val="27333D93"/>
    <w:rsid w:val="2BE3682F"/>
    <w:rsid w:val="2E5D7CAC"/>
    <w:rsid w:val="32426E05"/>
    <w:rsid w:val="396F34E7"/>
    <w:rsid w:val="474029EB"/>
    <w:rsid w:val="4A654B47"/>
    <w:rsid w:val="4DDC2416"/>
    <w:rsid w:val="52C5188C"/>
    <w:rsid w:val="595D49CF"/>
    <w:rsid w:val="5AE47BC9"/>
    <w:rsid w:val="62204E98"/>
    <w:rsid w:val="661D2E56"/>
    <w:rsid w:val="6FC4173B"/>
    <w:rsid w:val="6FF65BB0"/>
    <w:rsid w:val="71A6714E"/>
    <w:rsid w:val="71DB630F"/>
    <w:rsid w:val="7936311E"/>
    <w:rsid w:val="7CBA3170"/>
    <w:rsid w:val="7E24195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Date"/>
    <w:basedOn w:val="1"/>
    <w:next w:val="1"/>
    <w:link w:val="13"/>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index 1"/>
    <w:basedOn w:val="1"/>
    <w:next w:val="1"/>
    <w:semiHidden/>
    <w:qFormat/>
    <w:uiPriority w:val="0"/>
  </w:style>
  <w:style w:type="character" w:customStyle="1" w:styleId="10">
    <w:name w:val="页眉 Char"/>
    <w:link w:val="6"/>
    <w:qFormat/>
    <w:uiPriority w:val="0"/>
    <w:rPr>
      <w:kern w:val="2"/>
      <w:sz w:val="18"/>
      <w:szCs w:val="18"/>
    </w:rPr>
  </w:style>
  <w:style w:type="character" w:customStyle="1" w:styleId="11">
    <w:name w:val="页脚 Char"/>
    <w:link w:val="5"/>
    <w:qFormat/>
    <w:uiPriority w:val="99"/>
    <w:rPr>
      <w:kern w:val="2"/>
      <w:sz w:val="18"/>
      <w:szCs w:val="18"/>
    </w:rPr>
  </w:style>
  <w:style w:type="character" w:customStyle="1" w:styleId="12">
    <w:name w:val="ng-binding"/>
    <w:basedOn w:val="9"/>
    <w:qFormat/>
    <w:uiPriority w:val="0"/>
  </w:style>
  <w:style w:type="character" w:customStyle="1" w:styleId="13">
    <w:name w:val="日期 Char"/>
    <w:basedOn w:val="9"/>
    <w:link w:val="3"/>
    <w:qFormat/>
    <w:uiPriority w:val="0"/>
    <w:rPr>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086CD10-B731-446E-AC47-E6D275CAF509}">
  <ds:schemaRefs/>
</ds:datastoreItem>
</file>

<file path=docProps/app.xml><?xml version="1.0" encoding="utf-8"?>
<Properties xmlns="http://schemas.openxmlformats.org/officeDocument/2006/extended-properties" xmlns:vt="http://schemas.openxmlformats.org/officeDocument/2006/docPropsVTypes">
  <Template>Normal</Template>
  <Company>GDGC</Company>
  <Pages>3</Pages>
  <Words>1788</Words>
  <Characters>1894</Characters>
  <Lines>14</Lines>
  <Paragraphs>4</Paragraphs>
  <TotalTime>5</TotalTime>
  <ScaleCrop>false</ScaleCrop>
  <LinksUpToDate>false</LinksUpToDate>
  <CharactersWithSpaces>1998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2022-05-26T03:11:00Z</dcterms:created>
  <dc:creator>fish</dc:creator>
  <cp:lastModifiedBy>汇兴</cp:lastModifiedBy>
  <cp:lastPrinted>2023-04-04T08:12:00Z</cp:lastPrinted>
  <dcterms:modified xsi:type="dcterms:W3CDTF">2024-05-24T01:42:10Z</dcterms:modified>
  <dc:title>广州市粮食竞价交易合同</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B1E1FC58DDB94699B5861DD66366746A_13</vt:lpwstr>
  </property>
</Properties>
</file>