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C105E">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梅州市嘉应粮食交易中心有限公司</w:t>
      </w:r>
    </w:p>
    <w:p w14:paraId="3588A0E2">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14:paraId="5B7E642B">
      <w:pPr>
        <w:autoSpaceDE w:val="0"/>
        <w:autoSpaceDN w:val="0"/>
        <w:adjustRightInd w:val="0"/>
        <w:rPr>
          <w:rFonts w:hint="default" w:ascii="宋体" w:hAnsi="宋体" w:eastAsia="宋体"/>
          <w:kern w:val="0"/>
          <w:sz w:val="28"/>
          <w:highlight w:val="none"/>
          <w:lang w:val="en-US" w:eastAsia="zh-CN"/>
        </w:rPr>
      </w:pPr>
      <w:r>
        <w:rPr>
          <w:rFonts w:hint="eastAsia" w:ascii="宋体" w:hAnsi="宋体"/>
          <w:kern w:val="0"/>
          <w:sz w:val="28"/>
        </w:rPr>
        <w:t>合同编号：</w:t>
      </w:r>
    </w:p>
    <w:p w14:paraId="57538953">
      <w:pPr>
        <w:autoSpaceDE w:val="0"/>
        <w:autoSpaceDN w:val="0"/>
        <w:adjustRightInd w:val="0"/>
        <w:rPr>
          <w:rFonts w:ascii="宋体" w:hAnsi="宋体"/>
          <w:kern w:val="0"/>
          <w:sz w:val="28"/>
          <w:highlight w:val="none"/>
        </w:rPr>
      </w:pPr>
      <w:r>
        <w:rPr>
          <w:rFonts w:hint="eastAsia" w:ascii="宋体" w:hAnsi="宋体"/>
          <w:kern w:val="0"/>
          <w:sz w:val="28"/>
          <w:highlight w:val="none"/>
        </w:rPr>
        <w:t>买方全称：梅州市嘉泰粮食和物资储备有限公司</w:t>
      </w:r>
    </w:p>
    <w:p w14:paraId="3815F3AA">
      <w:pPr>
        <w:autoSpaceDE w:val="0"/>
        <w:autoSpaceDN w:val="0"/>
        <w:adjustRightInd w:val="0"/>
        <w:rPr>
          <w:rFonts w:ascii="宋体" w:hAnsi="宋体"/>
          <w:kern w:val="0"/>
          <w:sz w:val="28"/>
          <w:highlight w:val="none"/>
        </w:rPr>
      </w:pPr>
      <w:r>
        <w:rPr>
          <w:rFonts w:hint="eastAsia" w:ascii="宋体" w:hAnsi="宋体"/>
          <w:kern w:val="0"/>
          <w:sz w:val="28"/>
          <w:highlight w:val="none"/>
        </w:rPr>
        <w:t>卖方全称：</w:t>
      </w:r>
      <w:r>
        <w:rPr>
          <w:rFonts w:ascii="宋体" w:hAnsi="宋体"/>
          <w:kern w:val="0"/>
          <w:sz w:val="28"/>
          <w:highlight w:val="none"/>
        </w:rPr>
        <w:t xml:space="preserve"> </w:t>
      </w:r>
    </w:p>
    <w:p w14:paraId="32419C4C">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14:paraId="07EB8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05E7F49">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14:paraId="094D4540">
            <w:pPr>
              <w:pStyle w:val="3"/>
              <w:spacing w:line="240" w:lineRule="auto"/>
              <w:ind w:firstLine="0" w:firstLineChars="0"/>
              <w:rPr>
                <w:rFonts w:hint="default" w:ascii="宋体" w:hAnsi="宋体" w:eastAsia="宋体"/>
                <w:kern w:val="2"/>
                <w:sz w:val="24"/>
                <w:lang w:val="en-US" w:eastAsia="zh-CN"/>
              </w:rPr>
            </w:pPr>
          </w:p>
        </w:tc>
        <w:tc>
          <w:tcPr>
            <w:tcW w:w="1276" w:type="dxa"/>
            <w:tcBorders>
              <w:top w:val="single" w:color="auto" w:sz="4" w:space="0"/>
              <w:left w:val="single" w:color="auto" w:sz="4" w:space="0"/>
              <w:bottom w:val="single" w:color="auto" w:sz="4" w:space="0"/>
              <w:right w:val="single" w:color="auto" w:sz="4" w:space="0"/>
            </w:tcBorders>
            <w:vAlign w:val="center"/>
          </w:tcPr>
          <w:p w14:paraId="6ECAE6E7">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18C2FF08">
            <w:pPr>
              <w:pStyle w:val="3"/>
              <w:spacing w:line="240" w:lineRule="auto"/>
              <w:ind w:firstLine="0" w:firstLineChars="0"/>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w:t>
            </w:r>
          </w:p>
        </w:tc>
      </w:tr>
      <w:tr w14:paraId="3A6E0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5A74F87">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14:paraId="0DCF71E8">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76" w:type="dxa"/>
            <w:tcBorders>
              <w:top w:val="single" w:color="auto" w:sz="4" w:space="0"/>
              <w:left w:val="single" w:color="auto" w:sz="4" w:space="0"/>
              <w:bottom w:val="single" w:color="auto" w:sz="4" w:space="0"/>
              <w:right w:val="single" w:color="auto" w:sz="4" w:space="0"/>
            </w:tcBorders>
            <w:vAlign w:val="center"/>
          </w:tcPr>
          <w:p w14:paraId="24924597">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1CC85870">
            <w:pPr>
              <w:pStyle w:val="3"/>
              <w:spacing w:line="240" w:lineRule="auto"/>
              <w:ind w:left="0" w:leftChars="0" w:firstLine="0" w:firstLineChars="0"/>
              <w:rPr>
                <w:rFonts w:hint="default" w:ascii="宋体" w:hAnsi="宋体" w:eastAsia="宋体"/>
                <w:kern w:val="2"/>
                <w:sz w:val="24"/>
                <w:lang w:val="en-US" w:eastAsia="zh-CN"/>
              </w:rPr>
            </w:pPr>
            <w:r>
              <w:rPr>
                <w:rFonts w:hint="eastAsia" w:ascii="宋体" w:hAnsi="宋体" w:eastAsia="宋体"/>
                <w:kern w:val="2"/>
                <w:sz w:val="24"/>
                <w:lang w:val="en-US" w:eastAsia="zh-CN"/>
              </w:rPr>
              <w:t>7600吨</w:t>
            </w:r>
          </w:p>
        </w:tc>
      </w:tr>
      <w:tr w14:paraId="6D5F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A96F993">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14:paraId="0836BA52">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182A8DC1">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70510105">
            <w:pPr>
              <w:pStyle w:val="3"/>
              <w:spacing w:line="240" w:lineRule="auto"/>
              <w:ind w:firstLine="480" w:firstLineChars="200"/>
              <w:rPr>
                <w:rFonts w:hint="default" w:ascii="宋体" w:hAnsi="宋体" w:eastAsia="宋体"/>
                <w:kern w:val="2"/>
                <w:sz w:val="24"/>
                <w:lang w:val="en-US" w:eastAsia="zh-CN"/>
              </w:rPr>
            </w:pPr>
            <w:r>
              <w:rPr>
                <w:rFonts w:hint="eastAsia" w:ascii="宋体" w:hAnsi="宋体" w:eastAsia="宋体"/>
                <w:kern w:val="2"/>
                <w:sz w:val="24"/>
                <w:lang w:val="en-US" w:eastAsia="zh-CN"/>
              </w:rPr>
              <w:t>元/吨</w:t>
            </w:r>
          </w:p>
        </w:tc>
      </w:tr>
      <w:tr w14:paraId="481E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69D9AD8">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14:paraId="3CCC8C29">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广东、江西、安徽</w:t>
            </w:r>
            <w:r>
              <w:rPr>
                <w:rFonts w:hint="eastAsia" w:ascii="宋体" w:hAnsi="宋体" w:eastAsia="宋体"/>
                <w:kern w:val="2"/>
                <w:sz w:val="24"/>
                <w:lang w:eastAsia="zh-CN"/>
              </w:rPr>
              <w:t>、</w:t>
            </w:r>
            <w:r>
              <w:rPr>
                <w:rFonts w:hint="eastAsia" w:ascii="宋体" w:hAnsi="宋体" w:eastAsia="宋体"/>
                <w:kern w:val="2"/>
                <w:sz w:val="24"/>
                <w:lang w:val="en-US" w:eastAsia="zh-CN"/>
              </w:rPr>
              <w:t>湖北</w:t>
            </w:r>
          </w:p>
        </w:tc>
        <w:tc>
          <w:tcPr>
            <w:tcW w:w="1276" w:type="dxa"/>
            <w:tcBorders>
              <w:top w:val="single" w:color="auto" w:sz="4" w:space="0"/>
              <w:left w:val="single" w:color="auto" w:sz="4" w:space="0"/>
              <w:bottom w:val="single" w:color="auto" w:sz="4" w:space="0"/>
              <w:right w:val="single" w:color="auto" w:sz="4" w:space="0"/>
            </w:tcBorders>
            <w:vAlign w:val="center"/>
          </w:tcPr>
          <w:p w14:paraId="72DE757A">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7D9243AC">
            <w:pPr>
              <w:pStyle w:val="3"/>
              <w:spacing w:line="240" w:lineRule="auto"/>
              <w:ind w:firstLine="480" w:firstLineChars="200"/>
              <w:rPr>
                <w:rFonts w:hint="default" w:ascii="宋体" w:hAnsi="宋体" w:eastAsia="宋体"/>
                <w:kern w:val="2"/>
                <w:sz w:val="24"/>
                <w:highlight w:val="yellow"/>
                <w:lang w:val="en-US" w:eastAsia="zh-CN"/>
              </w:rPr>
            </w:pPr>
            <w:r>
              <w:rPr>
                <w:rFonts w:hint="eastAsia" w:ascii="宋体" w:hAnsi="宋体" w:eastAsia="宋体"/>
                <w:kern w:val="2"/>
                <w:sz w:val="24"/>
                <w:lang w:val="en-US" w:eastAsia="zh-CN"/>
              </w:rPr>
              <w:t>元</w:t>
            </w:r>
          </w:p>
        </w:tc>
      </w:tr>
      <w:tr w14:paraId="4E0FA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C0DA3C7">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D47C09F">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库车板交货。买方组织搬运人员，搬运装卸费、粮面整平费等费用由买方负责。买方向卖方收取30元/吨的入仓服务费，按仓库工作时间入仓。</w:t>
            </w:r>
          </w:p>
        </w:tc>
      </w:tr>
      <w:tr w14:paraId="37C3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D7F398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B12D9D5">
            <w:pPr>
              <w:pStyle w:val="3"/>
              <w:spacing w:line="300" w:lineRule="exact"/>
              <w:ind w:firstLine="0" w:firstLineChars="0"/>
              <w:rPr>
                <w:rFonts w:hint="eastAsia" w:ascii="宋体" w:hAnsi="宋体" w:eastAsia="宋体"/>
                <w:kern w:val="2"/>
                <w:sz w:val="21"/>
                <w:szCs w:val="21"/>
                <w:lang w:eastAsia="zh-CN"/>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w:t>
            </w:r>
            <w:r>
              <w:rPr>
                <w:rFonts w:hint="eastAsia" w:ascii="宋体" w:hAnsi="宋体" w:eastAsia="宋体"/>
                <w:kern w:val="2"/>
                <w:sz w:val="24"/>
                <w:lang w:val="en-US" w:eastAsia="zh-CN"/>
              </w:rPr>
              <w:t>8</w:t>
            </w:r>
            <w:r>
              <w:rPr>
                <w:rFonts w:hint="eastAsia" w:ascii="宋体" w:hAnsi="宋体" w:eastAsia="宋体"/>
                <w:kern w:val="2"/>
                <w:sz w:val="24"/>
              </w:rPr>
              <w:t>月</w:t>
            </w:r>
            <w:r>
              <w:rPr>
                <w:rFonts w:hint="eastAsia" w:ascii="宋体" w:hAnsi="宋体" w:eastAsia="宋体"/>
                <w:kern w:val="2"/>
                <w:sz w:val="24"/>
                <w:lang w:val="en-US" w:eastAsia="zh-CN"/>
              </w:rPr>
              <w:t>1</w:t>
            </w:r>
            <w:r>
              <w:rPr>
                <w:rFonts w:hint="eastAsia" w:ascii="宋体" w:hAnsi="宋体" w:eastAsia="宋体"/>
                <w:kern w:val="2"/>
                <w:sz w:val="24"/>
              </w:rPr>
              <w:t>日至202</w:t>
            </w:r>
            <w:r>
              <w:rPr>
                <w:rFonts w:hint="eastAsia" w:ascii="宋体" w:hAnsi="宋体" w:eastAsia="宋体"/>
                <w:kern w:val="2"/>
                <w:sz w:val="24"/>
                <w:lang w:val="en-US" w:eastAsia="zh-CN"/>
              </w:rPr>
              <w:t>4</w:t>
            </w:r>
            <w:r>
              <w:rPr>
                <w:rFonts w:hint="eastAsia" w:ascii="宋体" w:hAnsi="宋体" w:eastAsia="宋体"/>
                <w:kern w:val="2"/>
                <w:sz w:val="24"/>
              </w:rPr>
              <w:t>年</w:t>
            </w:r>
            <w:r>
              <w:rPr>
                <w:rFonts w:hint="eastAsia" w:ascii="宋体" w:hAnsi="宋体" w:eastAsia="宋体"/>
                <w:kern w:val="2"/>
                <w:sz w:val="24"/>
                <w:lang w:val="en-US" w:eastAsia="zh-CN"/>
              </w:rPr>
              <w:t>9</w:t>
            </w:r>
            <w:r>
              <w:rPr>
                <w:rFonts w:hint="eastAsia" w:ascii="宋体" w:hAnsi="宋体" w:eastAsia="宋体"/>
                <w:kern w:val="2"/>
                <w:sz w:val="24"/>
              </w:rPr>
              <w:t>月</w:t>
            </w:r>
            <w:r>
              <w:rPr>
                <w:rFonts w:hint="eastAsia" w:ascii="宋体" w:hAnsi="宋体" w:eastAsia="宋体"/>
                <w:kern w:val="2"/>
                <w:sz w:val="24"/>
                <w:lang w:val="en-US" w:eastAsia="zh-CN"/>
              </w:rPr>
              <w:t>26</w:t>
            </w:r>
            <w:r>
              <w:rPr>
                <w:rFonts w:hint="eastAsia" w:ascii="宋体" w:hAnsi="宋体" w:eastAsia="宋体"/>
                <w:kern w:val="2"/>
                <w:sz w:val="24"/>
              </w:rPr>
              <w:t>日</w:t>
            </w:r>
            <w:r>
              <w:rPr>
                <w:rFonts w:hint="eastAsia" w:ascii="宋体" w:hAnsi="宋体" w:eastAsia="宋体"/>
                <w:color w:val="auto"/>
                <w:kern w:val="2"/>
                <w:sz w:val="24"/>
                <w:highlight w:val="none"/>
                <w:lang w:eastAsia="zh-CN"/>
              </w:rPr>
              <w:t>。在202</w:t>
            </w:r>
            <w:r>
              <w:rPr>
                <w:rFonts w:hint="eastAsia" w:ascii="宋体" w:hAnsi="宋体" w:eastAsia="宋体"/>
                <w:color w:val="auto"/>
                <w:kern w:val="2"/>
                <w:sz w:val="24"/>
                <w:highlight w:val="none"/>
                <w:lang w:val="en-US" w:eastAsia="zh-CN"/>
              </w:rPr>
              <w:t>4</w:t>
            </w:r>
            <w:r>
              <w:rPr>
                <w:rFonts w:hint="eastAsia" w:ascii="宋体" w:hAnsi="宋体" w:eastAsia="宋体"/>
                <w:color w:val="auto"/>
                <w:kern w:val="2"/>
                <w:sz w:val="24"/>
                <w:highlight w:val="none"/>
                <w:lang w:eastAsia="zh-CN"/>
              </w:rPr>
              <w:t>年</w:t>
            </w:r>
            <w:r>
              <w:rPr>
                <w:rFonts w:hint="eastAsia" w:ascii="宋体" w:hAnsi="宋体" w:eastAsia="宋体"/>
                <w:color w:val="auto"/>
                <w:kern w:val="2"/>
                <w:sz w:val="24"/>
                <w:highlight w:val="none"/>
                <w:lang w:val="en-US" w:eastAsia="zh-CN"/>
              </w:rPr>
              <w:t>8</w:t>
            </w:r>
            <w:r>
              <w:rPr>
                <w:rFonts w:hint="eastAsia" w:ascii="宋体" w:hAnsi="宋体" w:eastAsia="宋体"/>
                <w:color w:val="auto"/>
                <w:kern w:val="2"/>
                <w:sz w:val="24"/>
                <w:highlight w:val="none"/>
                <w:lang w:eastAsia="zh-CN"/>
              </w:rPr>
              <w:t>月</w:t>
            </w:r>
            <w:r>
              <w:rPr>
                <w:rFonts w:hint="eastAsia" w:ascii="宋体" w:hAnsi="宋体" w:eastAsia="宋体"/>
                <w:color w:val="auto"/>
                <w:kern w:val="2"/>
                <w:sz w:val="24"/>
                <w:highlight w:val="none"/>
                <w:lang w:val="en-US" w:eastAsia="zh-CN"/>
              </w:rPr>
              <w:t>28</w:t>
            </w:r>
            <w:r>
              <w:rPr>
                <w:rFonts w:hint="eastAsia" w:ascii="宋体" w:hAnsi="宋体" w:eastAsia="宋体"/>
                <w:color w:val="auto"/>
                <w:kern w:val="2"/>
                <w:sz w:val="24"/>
                <w:highlight w:val="none"/>
                <w:lang w:eastAsia="zh-CN"/>
              </w:rPr>
              <w:t>日之前完成入库</w:t>
            </w:r>
            <w:r>
              <w:rPr>
                <w:rFonts w:hint="eastAsia" w:ascii="宋体" w:hAnsi="宋体" w:eastAsia="宋体"/>
                <w:color w:val="auto"/>
                <w:kern w:val="2"/>
                <w:sz w:val="24"/>
                <w:highlight w:val="none"/>
                <w:lang w:val="en-US" w:eastAsia="zh-CN"/>
              </w:rPr>
              <w:t>3800</w:t>
            </w:r>
            <w:r>
              <w:rPr>
                <w:rFonts w:hint="eastAsia" w:ascii="宋体" w:hAnsi="宋体" w:eastAsia="宋体"/>
                <w:color w:val="auto"/>
                <w:kern w:val="2"/>
                <w:sz w:val="24"/>
                <w:highlight w:val="none"/>
                <w:lang w:eastAsia="zh-CN"/>
              </w:rPr>
              <w:t>吨以上（</w:t>
            </w:r>
            <w:r>
              <w:rPr>
                <w:rFonts w:hint="eastAsia" w:ascii="宋体" w:hAnsi="宋体" w:eastAsia="宋体"/>
                <w:color w:val="auto"/>
                <w:kern w:val="2"/>
                <w:sz w:val="24"/>
                <w:highlight w:val="none"/>
                <w:lang w:val="en-US" w:eastAsia="zh-CN"/>
              </w:rPr>
              <w:t>含3800吨</w:t>
            </w:r>
            <w:r>
              <w:rPr>
                <w:rFonts w:hint="eastAsia" w:ascii="宋体" w:hAnsi="宋体" w:eastAsia="宋体"/>
                <w:color w:val="auto"/>
                <w:kern w:val="2"/>
                <w:sz w:val="24"/>
                <w:highlight w:val="none"/>
                <w:lang w:eastAsia="zh-CN"/>
              </w:rPr>
              <w:t>）。</w:t>
            </w:r>
          </w:p>
        </w:tc>
      </w:tr>
      <w:tr w14:paraId="525D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2C1E5F1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3FD4CD7E">
            <w:pPr>
              <w:pStyle w:val="3"/>
              <w:spacing w:line="300" w:lineRule="exact"/>
              <w:ind w:firstLine="0" w:firstLineChars="0"/>
              <w:rPr>
                <w:rFonts w:ascii="宋体" w:hAnsi="宋体" w:eastAsia="宋体"/>
                <w:kern w:val="2"/>
                <w:sz w:val="24"/>
              </w:rPr>
            </w:pPr>
          </w:p>
        </w:tc>
      </w:tr>
      <w:tr w14:paraId="4FF1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278F97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65183B4F">
            <w:pPr>
              <w:pStyle w:val="3"/>
              <w:spacing w:line="300" w:lineRule="exact"/>
              <w:ind w:firstLine="0" w:firstLineChars="0"/>
              <w:rPr>
                <w:rFonts w:ascii="宋体" w:hAnsi="宋体" w:eastAsia="宋体"/>
                <w:sz w:val="24"/>
              </w:rPr>
            </w:pPr>
            <w:r>
              <w:rPr>
                <w:rFonts w:hint="eastAsia" w:ascii="宋体" w:hAnsi="宋体" w:eastAsia="宋体"/>
                <w:sz w:val="24"/>
              </w:rPr>
              <w:t>仓内散储</w:t>
            </w:r>
          </w:p>
        </w:tc>
      </w:tr>
      <w:tr w14:paraId="1210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DB3088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14:paraId="48844375">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CC43F28">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执行GB1350-2009早籼三级稻谷（含三级）以上标准，质量检测主要指标达到：出糙率≥75%，整精米率≥44%，杂质≤1%，水分≤13.5%，黄粒米≤1%，谷外糙米含量≤2%，互混率≤5%，脂肪酸值≤18.5mgKOH/100g，色泽气味正常，无虫害，符合国家粮食卫生标准，其中要求镉≤0.2mg/kg。拒收泥谷、水浸谷、生芽谷</w:t>
            </w:r>
            <w:r>
              <w:rPr>
                <w:rFonts w:hint="eastAsia" w:ascii="宋体" w:hAnsi="宋体" w:eastAsia="宋体"/>
                <w:kern w:val="2"/>
                <w:sz w:val="24"/>
                <w:lang w:eastAsia="zh-CN"/>
              </w:rPr>
              <w:t>。</w:t>
            </w:r>
          </w:p>
        </w:tc>
      </w:tr>
    </w:tbl>
    <w:p w14:paraId="16334DAE">
      <w:pPr>
        <w:autoSpaceDE w:val="0"/>
        <w:autoSpaceDN w:val="0"/>
        <w:adjustRightInd w:val="0"/>
        <w:spacing w:line="300" w:lineRule="exact"/>
        <w:ind w:firstLine="472" w:firstLineChars="196"/>
        <w:rPr>
          <w:rFonts w:ascii="宋体" w:hAnsi="宋体"/>
          <w:color w:val="000000" w:themeColor="text1"/>
          <w:kern w:val="0"/>
          <w:sz w:val="24"/>
          <w14:textFill>
            <w14:solidFill>
              <w14:schemeClr w14:val="tx1"/>
            </w14:solidFill>
          </w14:textFill>
        </w:rPr>
      </w:pPr>
      <w:r>
        <w:rPr>
          <w:rFonts w:hint="eastAsia" w:ascii="宋体" w:hAnsi="宋体"/>
          <w:b/>
          <w:bCs/>
          <w:sz w:val="24"/>
        </w:rPr>
        <w:t>二、验收方式：</w:t>
      </w:r>
      <w:r>
        <w:rPr>
          <w:rFonts w:hint="eastAsia" w:ascii="宋体" w:hAnsi="宋体"/>
          <w:color w:val="000000" w:themeColor="text1"/>
          <w:kern w:val="0"/>
          <w:sz w:val="24"/>
          <w14:textFill>
            <w14:solidFill>
              <w14:schemeClr w14:val="tx1"/>
            </w14:solidFill>
          </w14:textFill>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14:paraId="112DC62E">
      <w:pPr>
        <w:autoSpaceDE w:val="0"/>
        <w:autoSpaceDN w:val="0"/>
        <w:adjustRightInd w:val="0"/>
        <w:spacing w:line="320" w:lineRule="exact"/>
        <w:ind w:firstLine="354" w:firstLineChars="147"/>
        <w:rPr>
          <w:rFonts w:ascii="宋体" w:hAnsi="宋体"/>
          <w:color w:val="FF0000"/>
          <w:kern w:val="0"/>
          <w:sz w:val="24"/>
        </w:rPr>
      </w:pPr>
      <w:r>
        <w:rPr>
          <w:rFonts w:hint="eastAsia" w:ascii="宋体" w:hAnsi="宋体"/>
          <w:b/>
          <w:bCs/>
          <w:sz w:val="24"/>
        </w:rPr>
        <w:t>三、费用承担：</w:t>
      </w:r>
      <w:r>
        <w:rPr>
          <w:rFonts w:hint="eastAsia" w:ascii="宋体" w:hAnsi="宋体"/>
          <w:color w:val="000000" w:themeColor="text1"/>
          <w:kern w:val="0"/>
          <w:sz w:val="24"/>
          <w14:textFill>
            <w14:solidFill>
              <w14:schemeClr w14:val="tx1"/>
            </w14:solidFill>
          </w14:textFill>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14:textFill>
            <w14:solidFill>
              <w14:schemeClr w14:val="tx1"/>
            </w14:solidFill>
          </w14:textFill>
        </w:rPr>
        <w:t>含装卸搬运费、</w:t>
      </w:r>
      <w:r>
        <w:rPr>
          <w:rFonts w:hint="eastAsia" w:ascii="宋体" w:hAnsi="宋体"/>
          <w:color w:val="000000" w:themeColor="text1"/>
          <w:kern w:val="0"/>
          <w:sz w:val="24"/>
          <w14:textFill>
            <w14:solidFill>
              <w14:schemeClr w14:val="tx1"/>
            </w14:solidFill>
          </w14:textFill>
        </w:rPr>
        <w:t>设备使用费、水电费、过磅费、整理清扫费、</w:t>
      </w:r>
      <w:r>
        <w:rPr>
          <w:rFonts w:hint="eastAsia" w:ascii="宋体" w:hAnsi="宋体"/>
          <w:color w:val="000000" w:themeColor="text1"/>
          <w:sz w:val="24"/>
          <w14:textFill>
            <w14:solidFill>
              <w14:schemeClr w14:val="tx1"/>
            </w14:solidFill>
          </w14:textFill>
        </w:rPr>
        <w:t>粮面整平费、</w:t>
      </w:r>
      <w:r>
        <w:rPr>
          <w:rFonts w:hint="eastAsia" w:ascii="宋体" w:hAnsi="宋体"/>
          <w:color w:val="000000" w:themeColor="text1"/>
          <w:kern w:val="0"/>
          <w:sz w:val="24"/>
          <w14:textFill>
            <w14:solidFill>
              <w14:schemeClr w14:val="tx1"/>
            </w14:solidFill>
          </w14:textFill>
        </w:rPr>
        <w:t>入库期间管理费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w:t>
      </w:r>
    </w:p>
    <w:p w14:paraId="65AEFCC3">
      <w:pPr>
        <w:autoSpaceDE w:val="0"/>
        <w:autoSpaceDN w:val="0"/>
        <w:adjustRightInd w:val="0"/>
        <w:spacing w:line="320" w:lineRule="exact"/>
        <w:ind w:firstLine="482" w:firstLineChars="200"/>
        <w:rPr>
          <w:rFonts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14:textFill>
            <w14:solidFill>
              <w14:schemeClr w14:val="tx1"/>
            </w14:solidFill>
          </w14:textFill>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14:paraId="7B0E9867">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14:paraId="21C098C9">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14:paraId="5D235A16">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14:paraId="3460DD79">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14:paraId="3B104650">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14:paraId="52DE5CD0">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14:paraId="4DA3CAAA">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2024年8月28日之前入库数量未达到约定数量，差额部分按30元/吨扣罚卖方履约保证金。卖方逾期交货（含因质量不合格被买方拒收造成的逾期交货），交货期限逾期10天以内，每逾期1天，按逾期交货总金额的0.2%向买方支付滞纳金；超过11天的，由交易中心通知卖方停止供货，并按50元/吨扣罚卖方逾期费。由于不可抗力原因导致卖方逾期交货，卖方应在一周内向买方及交易中心报告，说明货物受阻、受影响数量等情况，经交易中心核实，并征得买方同意后，买卖双方签订补充协议，相应顺延合同履行期限。</w:t>
      </w:r>
    </w:p>
    <w:p w14:paraId="00EB3AAD">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以车次为单位，卖方来粮退货率不得超过20%，如超过20%的，超出部分按100元/车扣罚</w:t>
      </w:r>
      <w:r>
        <w:rPr>
          <w:rFonts w:hint="eastAsia" w:ascii="宋体" w:hAnsi="宋体"/>
          <w:kern w:val="0"/>
          <w:sz w:val="24"/>
          <w:lang w:val="en-US" w:eastAsia="zh-CN"/>
        </w:rPr>
        <w:t>卖方</w:t>
      </w:r>
      <w:r>
        <w:rPr>
          <w:rFonts w:hint="eastAsia" w:ascii="宋体" w:hAnsi="宋体"/>
          <w:kern w:val="0"/>
          <w:sz w:val="24"/>
        </w:rPr>
        <w:t>履约保证金。</w:t>
      </w:r>
    </w:p>
    <w:p w14:paraId="12842212">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3B3F64C4">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14:paraId="78F919FE">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14:paraId="2B549712">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73C1E085">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14:paraId="047A54EC">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14:paraId="4BC9A6A2">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 xml:space="preserve">卖方单位（盖章）： </w:t>
      </w:r>
    </w:p>
    <w:p w14:paraId="760571AE">
      <w:pPr>
        <w:autoSpaceDE w:val="0"/>
        <w:autoSpaceDN w:val="0"/>
        <w:adjustRightInd w:val="0"/>
        <w:spacing w:line="460" w:lineRule="exact"/>
        <w:rPr>
          <w:rFonts w:ascii="宋体" w:hAnsi="宋体"/>
          <w:kern w:val="0"/>
          <w:sz w:val="24"/>
        </w:rPr>
      </w:pPr>
      <w:r>
        <w:rPr>
          <w:rFonts w:hint="eastAsia" w:ascii="宋体" w:hAnsi="宋体"/>
          <w:kern w:val="0"/>
          <w:sz w:val="24"/>
        </w:rPr>
        <w:t>法</w:t>
      </w:r>
      <w:r>
        <w:rPr>
          <w:rFonts w:hint="eastAsia" w:ascii="宋体" w:hAnsi="宋体"/>
          <w:kern w:val="0"/>
          <w:sz w:val="24"/>
          <w:lang w:val="en-US" w:eastAsia="zh-CN"/>
        </w:rPr>
        <w:t>定代表人或代理人</w:t>
      </w:r>
      <w:r>
        <w:rPr>
          <w:rFonts w:hint="eastAsia" w:ascii="宋体" w:hAnsi="宋体"/>
          <w:kern w:val="0"/>
          <w:sz w:val="24"/>
        </w:rPr>
        <w:t xml:space="preserve">（签字）：          </w:t>
      </w:r>
      <w:r>
        <w:rPr>
          <w:rFonts w:hint="eastAsia" w:ascii="宋体" w:hAnsi="宋体"/>
          <w:kern w:val="0"/>
          <w:sz w:val="24"/>
          <w:lang w:val="en-US" w:eastAsia="zh-CN"/>
        </w:rPr>
        <w:t>法定代表人</w:t>
      </w:r>
      <w:r>
        <w:rPr>
          <w:rFonts w:hint="eastAsia" w:ascii="宋体" w:hAnsi="宋体"/>
          <w:kern w:val="0"/>
          <w:sz w:val="24"/>
        </w:rPr>
        <w:t>或代理人（签字）：</w:t>
      </w:r>
    </w:p>
    <w:p w14:paraId="644AE5E8">
      <w:pPr>
        <w:spacing w:line="500" w:lineRule="exact"/>
        <w:rPr>
          <w:rFonts w:ascii="宋体" w:hAnsi="宋体"/>
          <w:kern w:val="0"/>
          <w:sz w:val="24"/>
        </w:rPr>
      </w:pPr>
    </w:p>
    <w:p w14:paraId="73CECB45">
      <w:pPr>
        <w:spacing w:line="500" w:lineRule="exact"/>
        <w:rPr>
          <w:rFonts w:ascii="宋体" w:hAnsi="宋体"/>
          <w:kern w:val="0"/>
          <w:sz w:val="24"/>
        </w:rPr>
      </w:pPr>
    </w:p>
    <w:p w14:paraId="586A40B9">
      <w:pPr>
        <w:spacing w:line="500" w:lineRule="exact"/>
        <w:rPr>
          <w:rFonts w:ascii="宋体" w:hAnsi="宋体"/>
          <w:sz w:val="24"/>
        </w:rPr>
      </w:pPr>
      <w:r>
        <w:rPr>
          <w:rFonts w:hint="eastAsia" w:ascii="宋体" w:hAnsi="宋体"/>
          <w:sz w:val="24"/>
        </w:rPr>
        <w:t>确认单位：梅州市嘉应粮食交易中心有限公司</w:t>
      </w:r>
    </w:p>
    <w:p w14:paraId="1B519F2F">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6743085">
      <w:pPr>
        <w:spacing w:line="500" w:lineRule="exact"/>
        <w:jc w:val="right"/>
        <w:rPr>
          <w:rFonts w:ascii="宋体" w:hAnsi="宋体"/>
          <w:sz w:val="24"/>
          <w:highlight w:val="yellow"/>
        </w:rPr>
      </w:pPr>
      <w:r>
        <w:rPr>
          <w:rFonts w:hint="eastAsia" w:ascii="宋体" w:hAnsi="宋体"/>
          <w:sz w:val="24"/>
          <w:highlight w:val="none"/>
        </w:rPr>
        <w:t>202</w:t>
      </w:r>
      <w:r>
        <w:rPr>
          <w:rFonts w:hint="eastAsia" w:ascii="宋体" w:hAnsi="宋体"/>
          <w:sz w:val="24"/>
          <w:highlight w:val="none"/>
          <w:lang w:val="en-US" w:eastAsia="zh-CN"/>
        </w:rPr>
        <w:t>4</w:t>
      </w:r>
      <w:r>
        <w:rPr>
          <w:rFonts w:hint="eastAsia" w:ascii="宋体" w:hAnsi="宋体"/>
          <w:sz w:val="24"/>
          <w:highlight w:val="none"/>
        </w:rPr>
        <w:t>年</w:t>
      </w:r>
      <w:r>
        <w:rPr>
          <w:rFonts w:hint="eastAsia" w:ascii="宋体" w:hAnsi="宋体"/>
          <w:sz w:val="24"/>
          <w:highlight w:val="none"/>
          <w:lang w:val="en-US" w:eastAsia="zh-CN"/>
        </w:rPr>
        <w:t xml:space="preserve">  </w:t>
      </w:r>
      <w:r>
        <w:rPr>
          <w:rFonts w:hint="eastAsia" w:ascii="宋体" w:hAnsi="宋体"/>
          <w:sz w:val="24"/>
          <w:highlight w:val="none"/>
        </w:rPr>
        <w:t>月</w:t>
      </w:r>
      <w:r>
        <w:rPr>
          <w:rFonts w:hint="eastAsia" w:ascii="宋体" w:hAnsi="宋体"/>
          <w:sz w:val="24"/>
          <w:highlight w:val="none"/>
          <w:lang w:val="en-US" w:eastAsia="zh-CN"/>
        </w:rPr>
        <w:t xml:space="preserve">  </w:t>
      </w:r>
      <w:bookmarkStart w:id="0" w:name="_GoBack"/>
      <w:bookmarkEnd w:id="0"/>
      <w:r>
        <w:rPr>
          <w:rFonts w:hint="eastAsia" w:ascii="宋体" w:hAnsi="宋体"/>
          <w:sz w:val="24"/>
          <w:highlight w:val="none"/>
        </w:rPr>
        <w:t>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173E9">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0C9E10B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37A44">
    <w:pPr>
      <w:pStyle w:val="6"/>
      <w:framePr w:wrap="around" w:vAnchor="text" w:hAnchor="margin" w:xAlign="center" w:y="1"/>
      <w:rPr>
        <w:rStyle w:val="11"/>
      </w:rPr>
    </w:pPr>
    <w:r>
      <w:fldChar w:fldCharType="begin"/>
    </w:r>
    <w:r>
      <w:rPr>
        <w:rStyle w:val="11"/>
      </w:rPr>
      <w:instrText xml:space="preserve">PAGE  </w:instrText>
    </w:r>
    <w:r>
      <w:fldChar w:fldCharType="end"/>
    </w:r>
  </w:p>
  <w:p w14:paraId="3868173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629D1">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6A3"/>
    <w:rsid w:val="002203EE"/>
    <w:rsid w:val="00221ED0"/>
    <w:rsid w:val="002263BB"/>
    <w:rsid w:val="00230826"/>
    <w:rsid w:val="00234722"/>
    <w:rsid w:val="00256722"/>
    <w:rsid w:val="00265B18"/>
    <w:rsid w:val="00275E64"/>
    <w:rsid w:val="0029138D"/>
    <w:rsid w:val="002914C6"/>
    <w:rsid w:val="00297ADC"/>
    <w:rsid w:val="002B4B08"/>
    <w:rsid w:val="002C1323"/>
    <w:rsid w:val="002C67DE"/>
    <w:rsid w:val="002E0E68"/>
    <w:rsid w:val="002F26F5"/>
    <w:rsid w:val="002F5CB1"/>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5AE5"/>
    <w:rsid w:val="005874E9"/>
    <w:rsid w:val="00594B32"/>
    <w:rsid w:val="005A266A"/>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23DD"/>
    <w:rsid w:val="00753619"/>
    <w:rsid w:val="007538F2"/>
    <w:rsid w:val="00756BA9"/>
    <w:rsid w:val="00762D9E"/>
    <w:rsid w:val="00776CB9"/>
    <w:rsid w:val="00781293"/>
    <w:rsid w:val="007A273F"/>
    <w:rsid w:val="007A2EC9"/>
    <w:rsid w:val="007A3877"/>
    <w:rsid w:val="007B3B44"/>
    <w:rsid w:val="007D0C0F"/>
    <w:rsid w:val="007D3A9C"/>
    <w:rsid w:val="007D4AEC"/>
    <w:rsid w:val="007D71C0"/>
    <w:rsid w:val="007E1BB5"/>
    <w:rsid w:val="007E4470"/>
    <w:rsid w:val="007F4EC0"/>
    <w:rsid w:val="007F7866"/>
    <w:rsid w:val="00800713"/>
    <w:rsid w:val="00803A12"/>
    <w:rsid w:val="0081372D"/>
    <w:rsid w:val="00816F5C"/>
    <w:rsid w:val="00840854"/>
    <w:rsid w:val="00856319"/>
    <w:rsid w:val="008661C4"/>
    <w:rsid w:val="00890A7C"/>
    <w:rsid w:val="00894724"/>
    <w:rsid w:val="00894BCB"/>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7E5F"/>
    <w:rsid w:val="009B4746"/>
    <w:rsid w:val="009B727A"/>
    <w:rsid w:val="009C0410"/>
    <w:rsid w:val="009C1A33"/>
    <w:rsid w:val="009D1AF3"/>
    <w:rsid w:val="009E1C25"/>
    <w:rsid w:val="009F1556"/>
    <w:rsid w:val="009F1BE8"/>
    <w:rsid w:val="009F238F"/>
    <w:rsid w:val="009F6E54"/>
    <w:rsid w:val="009F7D0D"/>
    <w:rsid w:val="00A1109F"/>
    <w:rsid w:val="00A241D6"/>
    <w:rsid w:val="00A5661E"/>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52187"/>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E07358"/>
    <w:rsid w:val="00E14A60"/>
    <w:rsid w:val="00E20EA5"/>
    <w:rsid w:val="00E219D2"/>
    <w:rsid w:val="00E23D58"/>
    <w:rsid w:val="00E33929"/>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263246"/>
    <w:rsid w:val="0EEC7B37"/>
    <w:rsid w:val="0F3236B6"/>
    <w:rsid w:val="0F672DA8"/>
    <w:rsid w:val="0FCD39CA"/>
    <w:rsid w:val="10CB02D8"/>
    <w:rsid w:val="118C0E6B"/>
    <w:rsid w:val="12135876"/>
    <w:rsid w:val="125C3356"/>
    <w:rsid w:val="127C4DBC"/>
    <w:rsid w:val="1346135D"/>
    <w:rsid w:val="17E0408A"/>
    <w:rsid w:val="17E31439"/>
    <w:rsid w:val="1857557B"/>
    <w:rsid w:val="1AFC7132"/>
    <w:rsid w:val="1D7A639C"/>
    <w:rsid w:val="20360172"/>
    <w:rsid w:val="215A0B39"/>
    <w:rsid w:val="225D7EDE"/>
    <w:rsid w:val="240E30B5"/>
    <w:rsid w:val="26095380"/>
    <w:rsid w:val="2A8E7BD6"/>
    <w:rsid w:val="2C1A571D"/>
    <w:rsid w:val="2D000152"/>
    <w:rsid w:val="2ECE4DFA"/>
    <w:rsid w:val="2F584C39"/>
    <w:rsid w:val="30EC4FCB"/>
    <w:rsid w:val="31D670FA"/>
    <w:rsid w:val="31DE5E33"/>
    <w:rsid w:val="321B5F48"/>
    <w:rsid w:val="323D01C2"/>
    <w:rsid w:val="33EC7386"/>
    <w:rsid w:val="349D0E96"/>
    <w:rsid w:val="355B33E1"/>
    <w:rsid w:val="36787D3F"/>
    <w:rsid w:val="37353CF1"/>
    <w:rsid w:val="378D4918"/>
    <w:rsid w:val="3AF85F80"/>
    <w:rsid w:val="3B5F44A5"/>
    <w:rsid w:val="3B82134E"/>
    <w:rsid w:val="3C0D0169"/>
    <w:rsid w:val="3C856F5D"/>
    <w:rsid w:val="3D4354D0"/>
    <w:rsid w:val="3D51466B"/>
    <w:rsid w:val="3F7756B9"/>
    <w:rsid w:val="40893FBC"/>
    <w:rsid w:val="408A516E"/>
    <w:rsid w:val="42776B9A"/>
    <w:rsid w:val="42BE54D1"/>
    <w:rsid w:val="435265C6"/>
    <w:rsid w:val="4389779A"/>
    <w:rsid w:val="43BB4ED7"/>
    <w:rsid w:val="456B20FC"/>
    <w:rsid w:val="482655AF"/>
    <w:rsid w:val="48A47531"/>
    <w:rsid w:val="49497F5F"/>
    <w:rsid w:val="4AD229A4"/>
    <w:rsid w:val="4C4D38D7"/>
    <w:rsid w:val="4CC8609B"/>
    <w:rsid w:val="4E5649C1"/>
    <w:rsid w:val="4EEC05F8"/>
    <w:rsid w:val="505B0E92"/>
    <w:rsid w:val="5117647A"/>
    <w:rsid w:val="52275BA3"/>
    <w:rsid w:val="523B63BD"/>
    <w:rsid w:val="5503669C"/>
    <w:rsid w:val="5659286D"/>
    <w:rsid w:val="57D202A6"/>
    <w:rsid w:val="57FA74C5"/>
    <w:rsid w:val="5B822C91"/>
    <w:rsid w:val="5FC72947"/>
    <w:rsid w:val="603F27E3"/>
    <w:rsid w:val="60B20EBA"/>
    <w:rsid w:val="60B600C2"/>
    <w:rsid w:val="61077514"/>
    <w:rsid w:val="61200DE8"/>
    <w:rsid w:val="619A6C42"/>
    <w:rsid w:val="647C1FC7"/>
    <w:rsid w:val="66E12C28"/>
    <w:rsid w:val="698741E4"/>
    <w:rsid w:val="6A535578"/>
    <w:rsid w:val="6AD14CF6"/>
    <w:rsid w:val="6BA4711E"/>
    <w:rsid w:val="6C266360"/>
    <w:rsid w:val="71F226C2"/>
    <w:rsid w:val="740B2A1F"/>
    <w:rsid w:val="751002ED"/>
    <w:rsid w:val="7670311D"/>
    <w:rsid w:val="76D16318"/>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Normal.dotm</Template>
  <Company>grain</Company>
  <Pages>2</Pages>
  <Words>1880</Words>
  <Characters>1999</Characters>
  <Lines>14</Lines>
  <Paragraphs>4</Paragraphs>
  <TotalTime>3</TotalTime>
  <ScaleCrop>false</ScaleCrop>
  <LinksUpToDate>false</LinksUpToDate>
  <CharactersWithSpaces>2111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汇兴</cp:lastModifiedBy>
  <cp:lastPrinted>2024-07-22T07:57:00Z</cp:lastPrinted>
  <dcterms:modified xsi:type="dcterms:W3CDTF">2024-07-23T08:26:09Z</dcterms:modified>
  <dc:title>广东华南粮食中心批发市场</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3704D6499C26437A98FDE1BAC384D985_13</vt:lpwstr>
  </property>
</Properties>
</file>