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269D76">
      <w:pPr>
        <w:autoSpaceDE w:val="0"/>
        <w:autoSpaceDN w:val="0"/>
        <w:adjustRightInd w:val="0"/>
        <w:jc w:val="center"/>
        <w:rPr>
          <w:rFonts w:ascii="宋体" w:hAnsi="宋体" w:eastAsia="宋体" w:cs="Times New Roman"/>
          <w:b/>
          <w:kern w:val="0"/>
          <w:sz w:val="44"/>
          <w:szCs w:val="44"/>
        </w:rPr>
      </w:pPr>
      <w:r>
        <w:rPr>
          <w:rFonts w:hint="eastAsia" w:ascii="宋体" w:hAnsi="宋体" w:eastAsia="宋体" w:cs="Times New Roman"/>
          <w:b/>
          <w:kern w:val="0"/>
          <w:sz w:val="44"/>
          <w:szCs w:val="44"/>
        </w:rPr>
        <w:t>梅州市嘉应粮食交易中心</w:t>
      </w:r>
    </w:p>
    <w:p w14:paraId="28094136">
      <w:pPr>
        <w:autoSpaceDE w:val="0"/>
        <w:autoSpaceDN w:val="0"/>
        <w:adjustRightInd w:val="0"/>
        <w:jc w:val="center"/>
        <w:rPr>
          <w:rFonts w:ascii="宋体" w:hAnsi="宋体" w:eastAsia="宋体" w:cs="Times New Roman"/>
          <w:b/>
          <w:kern w:val="0"/>
          <w:sz w:val="44"/>
          <w:szCs w:val="44"/>
        </w:rPr>
      </w:pPr>
      <w:r>
        <w:rPr>
          <w:rFonts w:hint="eastAsia" w:ascii="宋体" w:hAnsi="宋体" w:eastAsia="宋体" w:cs="Times New Roman"/>
          <w:b/>
          <w:kern w:val="0"/>
          <w:sz w:val="44"/>
          <w:szCs w:val="44"/>
        </w:rPr>
        <w:t>食用植物油竞价采购交易合同</w:t>
      </w:r>
    </w:p>
    <w:p w14:paraId="48B80D04">
      <w:pPr>
        <w:autoSpaceDE w:val="0"/>
        <w:autoSpaceDN w:val="0"/>
        <w:adjustRightInd w:val="0"/>
        <w:spacing w:line="500" w:lineRule="atLeast"/>
        <w:jc w:val="center"/>
        <w:rPr>
          <w:rFonts w:ascii="宋体" w:hAnsi="宋体" w:eastAsia="宋体" w:cs="Times New Roman"/>
          <w:b/>
          <w:kern w:val="0"/>
          <w:sz w:val="24"/>
          <w:szCs w:val="24"/>
        </w:rPr>
      </w:pPr>
    </w:p>
    <w:p w14:paraId="606CA661">
      <w:pPr>
        <w:autoSpaceDE w:val="0"/>
        <w:autoSpaceDN w:val="0"/>
        <w:adjustRightInd w:val="0"/>
        <w:spacing w:line="460" w:lineRule="exact"/>
        <w:rPr>
          <w:rFonts w:ascii="宋体" w:hAnsi="宋体" w:eastAsia="宋体" w:cs="Times New Roman"/>
          <w:kern w:val="0"/>
          <w:sz w:val="24"/>
          <w:szCs w:val="24"/>
          <w:u w:val="single"/>
        </w:rPr>
      </w:pPr>
      <w:r>
        <w:rPr>
          <w:rFonts w:hint="eastAsia" w:ascii="宋体" w:hAnsi="宋体" w:eastAsia="宋体" w:cs="Times New Roman"/>
          <w:kern w:val="0"/>
          <w:sz w:val="24"/>
          <w:szCs w:val="24"/>
        </w:rPr>
        <w:t>合同编号：</w:t>
      </w:r>
    </w:p>
    <w:p w14:paraId="55F6EEA6">
      <w:pPr>
        <w:autoSpaceDE w:val="0"/>
        <w:autoSpaceDN w:val="0"/>
        <w:adjustRightInd w:val="0"/>
        <w:spacing w:line="460" w:lineRule="exact"/>
        <w:rPr>
          <w:rFonts w:ascii="宋体" w:hAnsi="宋体" w:eastAsia="宋体" w:cs="Times New Roman"/>
          <w:kern w:val="0"/>
          <w:sz w:val="24"/>
          <w:szCs w:val="24"/>
        </w:rPr>
      </w:pPr>
      <w:r>
        <w:rPr>
          <w:rFonts w:hint="eastAsia" w:ascii="宋体" w:hAnsi="宋体" w:eastAsia="宋体" w:cs="Times New Roman"/>
          <w:kern w:val="0"/>
          <w:sz w:val="24"/>
          <w:szCs w:val="24"/>
        </w:rPr>
        <w:t>买方全称：大埔县兴丰粮食收储有限公司</w:t>
      </w:r>
    </w:p>
    <w:p w14:paraId="7191CB1C">
      <w:pPr>
        <w:spacing w:line="460" w:lineRule="exact"/>
        <w:rPr>
          <w:rFonts w:ascii="宋体" w:hAnsi="宋体" w:eastAsia="宋体" w:cs="Times New Roman"/>
          <w:kern w:val="0"/>
          <w:sz w:val="24"/>
          <w:szCs w:val="24"/>
        </w:rPr>
      </w:pPr>
      <w:r>
        <w:rPr>
          <w:rFonts w:hint="eastAsia" w:ascii="宋体" w:hAnsi="宋体" w:eastAsia="宋体" w:cs="Times New Roman"/>
          <w:kern w:val="0"/>
          <w:sz w:val="24"/>
          <w:szCs w:val="24"/>
        </w:rPr>
        <w:t>卖方全称：</w:t>
      </w:r>
    </w:p>
    <w:p w14:paraId="77E7D15E">
      <w:pPr>
        <w:autoSpaceDE w:val="0"/>
        <w:autoSpaceDN w:val="0"/>
        <w:adjustRightInd w:val="0"/>
        <w:spacing w:after="240" w:line="460" w:lineRule="exact"/>
        <w:rPr>
          <w:rFonts w:ascii="宋体" w:hAnsi="宋体" w:eastAsia="宋体" w:cs="Times New Roman"/>
          <w:kern w:val="0"/>
          <w:sz w:val="24"/>
          <w:szCs w:val="24"/>
        </w:rPr>
      </w:pPr>
      <w:r>
        <w:rPr>
          <w:rFonts w:hint="eastAsia" w:ascii="宋体" w:hAnsi="宋体" w:eastAsia="宋体" w:cs="Times New Roman"/>
          <w:kern w:val="0"/>
          <w:sz w:val="24"/>
          <w:szCs w:val="24"/>
        </w:rPr>
        <w:t xml:space="preserve">     一</w:t>
      </w:r>
      <w:r>
        <w:rPr>
          <w:rFonts w:hint="eastAsia" w:ascii="宋体" w:hAnsi="宋体" w:eastAsia="宋体" w:cs="Times New Roman"/>
          <w:bCs/>
          <w:kern w:val="0"/>
          <w:sz w:val="24"/>
          <w:szCs w:val="24"/>
        </w:rPr>
        <w:t>、成交标的</w:t>
      </w:r>
      <w:r>
        <w:rPr>
          <w:rFonts w:hint="eastAsia" w:ascii="宋体" w:hAnsi="宋体" w:eastAsia="宋体" w:cs="Times New Roman"/>
          <w:kern w:val="0"/>
          <w:sz w:val="24"/>
          <w:szCs w:val="24"/>
        </w:rPr>
        <w:t xml:space="preserve">（见下表）                          单位：元、吨                                  </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9"/>
        <w:gridCol w:w="1967"/>
        <w:gridCol w:w="1276"/>
        <w:gridCol w:w="3827"/>
      </w:tblGrid>
      <w:tr w14:paraId="00C46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29" w:type="dxa"/>
            <w:tcBorders>
              <w:top w:val="single" w:color="auto" w:sz="4" w:space="0"/>
              <w:left w:val="single" w:color="auto" w:sz="4" w:space="0"/>
              <w:bottom w:val="single" w:color="auto" w:sz="4" w:space="0"/>
              <w:right w:val="single" w:color="auto" w:sz="4" w:space="0"/>
            </w:tcBorders>
            <w:vAlign w:val="center"/>
          </w:tcPr>
          <w:p w14:paraId="37430DE9">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标的号</w:t>
            </w:r>
          </w:p>
        </w:tc>
        <w:tc>
          <w:tcPr>
            <w:tcW w:w="1967" w:type="dxa"/>
            <w:tcBorders>
              <w:top w:val="single" w:color="auto" w:sz="4" w:space="0"/>
              <w:left w:val="single" w:color="auto" w:sz="4" w:space="0"/>
              <w:bottom w:val="single" w:color="auto" w:sz="4" w:space="0"/>
              <w:right w:val="single" w:color="auto" w:sz="4" w:space="0"/>
            </w:tcBorders>
            <w:vAlign w:val="center"/>
          </w:tcPr>
          <w:p w14:paraId="70C214D0">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01</w:t>
            </w:r>
          </w:p>
        </w:tc>
        <w:tc>
          <w:tcPr>
            <w:tcW w:w="1276" w:type="dxa"/>
            <w:tcBorders>
              <w:top w:val="single" w:color="auto" w:sz="4" w:space="0"/>
              <w:left w:val="single" w:color="auto" w:sz="4" w:space="0"/>
              <w:bottom w:val="single" w:color="auto" w:sz="4" w:space="0"/>
              <w:right w:val="single" w:color="auto" w:sz="4" w:space="0"/>
            </w:tcBorders>
            <w:vAlign w:val="center"/>
          </w:tcPr>
          <w:p w14:paraId="32E1A06E">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14:paraId="5BB444EB">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2024年9月份后生产</w:t>
            </w:r>
          </w:p>
        </w:tc>
      </w:tr>
      <w:tr w14:paraId="0A967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29" w:type="dxa"/>
            <w:tcBorders>
              <w:top w:val="single" w:color="auto" w:sz="4" w:space="0"/>
              <w:left w:val="single" w:color="auto" w:sz="4" w:space="0"/>
              <w:bottom w:val="single" w:color="auto" w:sz="4" w:space="0"/>
              <w:right w:val="single" w:color="auto" w:sz="4" w:space="0"/>
            </w:tcBorders>
            <w:vAlign w:val="center"/>
          </w:tcPr>
          <w:p w14:paraId="00C27976">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品 种</w:t>
            </w:r>
          </w:p>
        </w:tc>
        <w:tc>
          <w:tcPr>
            <w:tcW w:w="1967" w:type="dxa"/>
            <w:tcBorders>
              <w:top w:val="single" w:color="auto" w:sz="4" w:space="0"/>
              <w:left w:val="single" w:color="auto" w:sz="4" w:space="0"/>
              <w:bottom w:val="single" w:color="auto" w:sz="4" w:space="0"/>
              <w:right w:val="single" w:color="auto" w:sz="4" w:space="0"/>
            </w:tcBorders>
            <w:vAlign w:val="center"/>
          </w:tcPr>
          <w:p w14:paraId="30B0B868">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食用植物油</w:t>
            </w:r>
          </w:p>
        </w:tc>
        <w:tc>
          <w:tcPr>
            <w:tcW w:w="1276" w:type="dxa"/>
            <w:tcBorders>
              <w:top w:val="single" w:color="auto" w:sz="4" w:space="0"/>
              <w:left w:val="single" w:color="auto" w:sz="4" w:space="0"/>
              <w:bottom w:val="single" w:color="auto" w:sz="4" w:space="0"/>
              <w:right w:val="single" w:color="auto" w:sz="4" w:space="0"/>
            </w:tcBorders>
            <w:vAlign w:val="center"/>
          </w:tcPr>
          <w:p w14:paraId="6450DBBA">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数 量</w:t>
            </w:r>
          </w:p>
        </w:tc>
        <w:tc>
          <w:tcPr>
            <w:tcW w:w="3827" w:type="dxa"/>
            <w:tcBorders>
              <w:top w:val="single" w:color="auto" w:sz="4" w:space="0"/>
              <w:left w:val="single" w:color="auto" w:sz="4" w:space="0"/>
              <w:bottom w:val="single" w:color="auto" w:sz="4" w:space="0"/>
              <w:right w:val="single" w:color="auto" w:sz="4" w:space="0"/>
            </w:tcBorders>
            <w:vAlign w:val="center"/>
          </w:tcPr>
          <w:p w14:paraId="200797CC">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33吨</w:t>
            </w:r>
          </w:p>
        </w:tc>
      </w:tr>
      <w:tr w14:paraId="0B779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29" w:type="dxa"/>
            <w:tcBorders>
              <w:top w:val="single" w:color="auto" w:sz="4" w:space="0"/>
              <w:left w:val="single" w:color="auto" w:sz="4" w:space="0"/>
              <w:bottom w:val="single" w:color="auto" w:sz="4" w:space="0"/>
              <w:right w:val="single" w:color="auto" w:sz="4" w:space="0"/>
            </w:tcBorders>
            <w:vAlign w:val="center"/>
          </w:tcPr>
          <w:p w14:paraId="55C0A77D">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等 级</w:t>
            </w:r>
          </w:p>
        </w:tc>
        <w:tc>
          <w:tcPr>
            <w:tcW w:w="1967" w:type="dxa"/>
            <w:tcBorders>
              <w:top w:val="single" w:color="auto" w:sz="4" w:space="0"/>
              <w:left w:val="single" w:color="auto" w:sz="4" w:space="0"/>
              <w:bottom w:val="single" w:color="auto" w:sz="4" w:space="0"/>
              <w:right w:val="single" w:color="auto" w:sz="4" w:space="0"/>
            </w:tcBorders>
            <w:vAlign w:val="center"/>
          </w:tcPr>
          <w:p w14:paraId="65183623">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二级以上</w:t>
            </w:r>
          </w:p>
        </w:tc>
        <w:tc>
          <w:tcPr>
            <w:tcW w:w="1276" w:type="dxa"/>
            <w:tcBorders>
              <w:top w:val="single" w:color="auto" w:sz="4" w:space="0"/>
              <w:left w:val="single" w:color="auto" w:sz="4" w:space="0"/>
              <w:bottom w:val="single" w:color="auto" w:sz="4" w:space="0"/>
              <w:right w:val="single" w:color="auto" w:sz="4" w:space="0"/>
            </w:tcBorders>
            <w:vAlign w:val="center"/>
          </w:tcPr>
          <w:p w14:paraId="65DE1F57">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单 价</w:t>
            </w:r>
          </w:p>
        </w:tc>
        <w:tc>
          <w:tcPr>
            <w:tcW w:w="3827" w:type="dxa"/>
            <w:tcBorders>
              <w:top w:val="single" w:color="auto" w:sz="4" w:space="0"/>
              <w:left w:val="single" w:color="auto" w:sz="4" w:space="0"/>
              <w:bottom w:val="single" w:color="auto" w:sz="4" w:space="0"/>
              <w:right w:val="single" w:color="auto" w:sz="4" w:space="0"/>
            </w:tcBorders>
            <w:vAlign w:val="center"/>
          </w:tcPr>
          <w:p w14:paraId="63D33D0B">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 xml:space="preserve">     元／吨</w:t>
            </w:r>
          </w:p>
        </w:tc>
      </w:tr>
      <w:tr w14:paraId="2D9DB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29" w:type="dxa"/>
            <w:tcBorders>
              <w:top w:val="single" w:color="auto" w:sz="4" w:space="0"/>
              <w:left w:val="single" w:color="auto" w:sz="4" w:space="0"/>
              <w:bottom w:val="single" w:color="auto" w:sz="4" w:space="0"/>
              <w:right w:val="single" w:color="auto" w:sz="4" w:space="0"/>
            </w:tcBorders>
            <w:vAlign w:val="center"/>
          </w:tcPr>
          <w:p w14:paraId="7ED5D874">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产 地</w:t>
            </w:r>
          </w:p>
        </w:tc>
        <w:tc>
          <w:tcPr>
            <w:tcW w:w="1967" w:type="dxa"/>
            <w:tcBorders>
              <w:top w:val="single" w:color="auto" w:sz="4" w:space="0"/>
              <w:left w:val="single" w:color="auto" w:sz="4" w:space="0"/>
              <w:bottom w:val="single" w:color="auto" w:sz="4" w:space="0"/>
              <w:right w:val="single" w:color="auto" w:sz="4" w:space="0"/>
            </w:tcBorders>
            <w:vAlign w:val="center"/>
          </w:tcPr>
          <w:p w14:paraId="66895D27">
            <w:pPr>
              <w:autoSpaceDE w:val="0"/>
              <w:autoSpaceDN w:val="0"/>
              <w:adjustRightInd w:val="0"/>
              <w:rPr>
                <w:rFonts w:ascii="宋体" w:hAnsi="宋体" w:eastAsia="宋体" w:cs="Times New Roman"/>
                <w:sz w:val="24"/>
                <w:szCs w:val="24"/>
              </w:rPr>
            </w:pPr>
            <w:r>
              <w:rPr>
                <w:rFonts w:hint="eastAsia" w:ascii="宋体" w:hAnsi="宋体" w:eastAsia="宋体" w:cs="Times New Roman"/>
                <w:kern w:val="0"/>
                <w:sz w:val="24"/>
                <w:szCs w:val="24"/>
              </w:rPr>
              <w:t>国内</w:t>
            </w:r>
          </w:p>
        </w:tc>
        <w:tc>
          <w:tcPr>
            <w:tcW w:w="1276" w:type="dxa"/>
            <w:tcBorders>
              <w:top w:val="single" w:color="auto" w:sz="4" w:space="0"/>
              <w:left w:val="single" w:color="auto" w:sz="4" w:space="0"/>
              <w:bottom w:val="single" w:color="auto" w:sz="4" w:space="0"/>
              <w:right w:val="single" w:color="auto" w:sz="4" w:space="0"/>
            </w:tcBorders>
            <w:vAlign w:val="center"/>
          </w:tcPr>
          <w:p w14:paraId="6AC3960E">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14:paraId="0BE63DD8">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 xml:space="preserve">     元</w:t>
            </w:r>
          </w:p>
        </w:tc>
      </w:tr>
      <w:tr w14:paraId="09679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29" w:type="dxa"/>
            <w:tcBorders>
              <w:top w:val="single" w:color="auto" w:sz="4" w:space="0"/>
              <w:left w:val="single" w:color="auto" w:sz="4" w:space="0"/>
              <w:bottom w:val="single" w:color="auto" w:sz="4" w:space="0"/>
              <w:right w:val="single" w:color="auto" w:sz="4" w:space="0"/>
            </w:tcBorders>
            <w:vAlign w:val="center"/>
          </w:tcPr>
          <w:p w14:paraId="43840168">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0B3E134A">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仓库堆好交货</w:t>
            </w:r>
          </w:p>
        </w:tc>
      </w:tr>
      <w:tr w14:paraId="52234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29" w:type="dxa"/>
            <w:tcBorders>
              <w:top w:val="single" w:color="auto" w:sz="4" w:space="0"/>
              <w:left w:val="single" w:color="auto" w:sz="4" w:space="0"/>
              <w:bottom w:val="single" w:color="auto" w:sz="4" w:space="0"/>
              <w:right w:val="single" w:color="auto" w:sz="4" w:space="0"/>
            </w:tcBorders>
            <w:vAlign w:val="center"/>
          </w:tcPr>
          <w:p w14:paraId="7CF151A4">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3F0B8FE7">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2024年</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日—2024年</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日，100%的标的数量送抵指定仓库</w:t>
            </w:r>
          </w:p>
        </w:tc>
      </w:tr>
      <w:tr w14:paraId="52AE8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29" w:type="dxa"/>
            <w:tcBorders>
              <w:top w:val="single" w:color="auto" w:sz="4" w:space="0"/>
              <w:left w:val="single" w:color="auto" w:sz="4" w:space="0"/>
              <w:bottom w:val="single" w:color="auto" w:sz="4" w:space="0"/>
              <w:right w:val="single" w:color="auto" w:sz="4" w:space="0"/>
            </w:tcBorders>
            <w:vAlign w:val="center"/>
          </w:tcPr>
          <w:p w14:paraId="348D996E">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47F904C2">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大埔县兴丰粮食收储有限公司五虎山粮库</w:t>
            </w:r>
          </w:p>
        </w:tc>
      </w:tr>
      <w:tr w14:paraId="0BF30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29" w:type="dxa"/>
            <w:tcBorders>
              <w:top w:val="single" w:color="auto" w:sz="4" w:space="0"/>
              <w:left w:val="single" w:color="auto" w:sz="4" w:space="0"/>
              <w:bottom w:val="single" w:color="auto" w:sz="4" w:space="0"/>
              <w:right w:val="single" w:color="auto" w:sz="4" w:space="0"/>
            </w:tcBorders>
            <w:vAlign w:val="center"/>
          </w:tcPr>
          <w:p w14:paraId="563A4653">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2DF0D243">
            <w:pPr>
              <w:autoSpaceDE w:val="0"/>
              <w:autoSpaceDN w:val="0"/>
              <w:adjustRightInd w:val="0"/>
              <w:rPr>
                <w:rFonts w:ascii="宋体" w:hAnsi="宋体" w:eastAsia="宋体" w:cs="Times New Roman"/>
                <w:kern w:val="0"/>
                <w:sz w:val="24"/>
                <w:szCs w:val="24"/>
              </w:rPr>
            </w:pPr>
            <w:r>
              <w:rPr>
                <w:rFonts w:hint="eastAsia" w:ascii="宋体" w:hAnsi="宋体" w:eastAsia="宋体" w:cs="Times New Roman"/>
                <w:kern w:val="0"/>
                <w:sz w:val="24"/>
                <w:szCs w:val="24"/>
              </w:rPr>
              <w:t>≤10升/桶      包装物、赠品不计重、不计价</w:t>
            </w:r>
          </w:p>
        </w:tc>
      </w:tr>
      <w:tr w14:paraId="3D768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1329" w:type="dxa"/>
            <w:tcBorders>
              <w:top w:val="single" w:color="auto" w:sz="4" w:space="0"/>
              <w:left w:val="single" w:color="auto" w:sz="4" w:space="0"/>
              <w:bottom w:val="single" w:color="auto" w:sz="4" w:space="0"/>
              <w:right w:val="single" w:color="auto" w:sz="4" w:space="0"/>
            </w:tcBorders>
            <w:vAlign w:val="center"/>
          </w:tcPr>
          <w:p w14:paraId="599F37B5">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质量、卫生标准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422BAD94">
            <w:pPr>
              <w:rPr>
                <w:rFonts w:ascii="宋体" w:hAnsi="宋体" w:eastAsia="宋体" w:cs="Times New Roman"/>
                <w:sz w:val="24"/>
                <w:szCs w:val="24"/>
              </w:rPr>
            </w:pPr>
            <w:r>
              <w:rPr>
                <w:rFonts w:hint="eastAsia" w:ascii="宋体" w:hAnsi="宋体" w:eastAsia="宋体" w:cs="Times New Roman"/>
                <w:sz w:val="24"/>
                <w:szCs w:val="24"/>
              </w:rPr>
              <w:t>执行《食品安全国家标准 植物油》（GB2716-2018）相关标准的规定。</w:t>
            </w:r>
          </w:p>
        </w:tc>
      </w:tr>
    </w:tbl>
    <w:p w14:paraId="25E62ADA">
      <w:pPr>
        <w:autoSpaceDE w:val="0"/>
        <w:autoSpaceDN w:val="0"/>
        <w:adjustRightInd w:val="0"/>
        <w:spacing w:line="46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二、验收交货方式：卖方按国家规定的质量标准和卫生标准的要求，提交合格检验报告单，由买方点件计重（统一按每升0.92公斤计），经双方确认后，买方出具入库凭证。入库食用植物油如果质量不符合本合同约定质量标准的，买方有权不予接收，货物由卖方自行处理，并承担所发生费用。</w:t>
      </w:r>
    </w:p>
    <w:p w14:paraId="7B5B364B">
      <w:pPr>
        <w:autoSpaceDE w:val="0"/>
        <w:autoSpaceDN w:val="0"/>
        <w:adjustRightInd w:val="0"/>
        <w:spacing w:line="46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三、费用承担：卖方承担交货前的一切费用，买方不承担任何费用。</w:t>
      </w:r>
    </w:p>
    <w:p w14:paraId="551C1676">
      <w:pPr>
        <w:autoSpaceDE w:val="0"/>
        <w:autoSpaceDN w:val="0"/>
        <w:adjustRightInd w:val="0"/>
        <w:spacing w:line="46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四、货款结算：食用植物油全部数量入库，并经买方确认合格，</w:t>
      </w:r>
      <w:r>
        <w:rPr>
          <w:rFonts w:hint="eastAsia" w:ascii="宋体" w:hAnsi="宋体" w:cs="宋体"/>
          <w:kern w:val="0"/>
          <w:sz w:val="24"/>
        </w:rPr>
        <w:t>第三方质量检验合格和大埔县发展和改革局等监管部门验收后</w:t>
      </w:r>
      <w:r>
        <w:rPr>
          <w:rFonts w:hint="eastAsia" w:ascii="宋体" w:hAnsi="宋体" w:eastAsia="宋体" w:cs="Times New Roman"/>
          <w:sz w:val="24"/>
          <w:szCs w:val="24"/>
        </w:rPr>
        <w:t xml:space="preserve">，买方在收到卖方提供的有效销售发票后5个工作日内结清全部货款（如因农发行贷款放贷未到位除外）。 </w:t>
      </w:r>
    </w:p>
    <w:p w14:paraId="7329E7BA">
      <w:pPr>
        <w:autoSpaceDE w:val="0"/>
        <w:autoSpaceDN w:val="0"/>
        <w:adjustRightInd w:val="0"/>
        <w:spacing w:line="46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五、结算凭证：卖方提供本单位开出的有效货物销售增值税专用发票。</w:t>
      </w:r>
    </w:p>
    <w:p w14:paraId="0511D64B">
      <w:pPr>
        <w:autoSpaceDE w:val="0"/>
        <w:autoSpaceDN w:val="0"/>
        <w:adjustRightInd w:val="0"/>
        <w:spacing w:line="46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六、违约责任：如有任何一方违约，违约部分保证金划归对方，并承担对方违约部分交易手续费，交易中心不承担经济责任。</w:t>
      </w:r>
    </w:p>
    <w:p w14:paraId="6DC76C8A">
      <w:pPr>
        <w:autoSpaceDE w:val="0"/>
        <w:autoSpaceDN w:val="0"/>
        <w:adjustRightInd w:val="0"/>
        <w:spacing w:line="46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七、争议解决：</w:t>
      </w:r>
    </w:p>
    <w:p w14:paraId="15C52DC7">
      <w:pPr>
        <w:autoSpaceDE w:val="0"/>
        <w:autoSpaceDN w:val="0"/>
        <w:adjustRightInd w:val="0"/>
        <w:spacing w:line="46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1、出现不明确责任情况，由交易中心协调解决；</w:t>
      </w:r>
    </w:p>
    <w:p w14:paraId="40CA86EE">
      <w:pPr>
        <w:autoSpaceDE w:val="0"/>
        <w:autoSpaceDN w:val="0"/>
        <w:adjustRightInd w:val="0"/>
        <w:spacing w:line="46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2、卖方逾期交货（含因质量不合格被买方拒收造成的逾期交货），逾期供货10天内，每逾期一天，按逾期交货总金额的0.1%向买方支付滞纳金；超过10天的，由交易中心通知卖方停止供货，并按50元/吨扣罚中标单位逾期费。由于不可抗力原因导致卖方逾期交货，卖方应在3天内向买方及交易中心报告，说明货物受阻、受影响数量等情况，经交易中心核实，并征得买方同意后，相应顺延合同履行期限。</w:t>
      </w:r>
    </w:p>
    <w:p w14:paraId="2D9119A1">
      <w:pPr>
        <w:autoSpaceDE w:val="0"/>
        <w:autoSpaceDN w:val="0"/>
        <w:adjustRightInd w:val="0"/>
        <w:spacing w:line="46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3、买卖双方如就质量问题发生争议，双方共同抽样并委托产品质量监督检验机构检验鉴定，费用由责任方负担。</w:t>
      </w:r>
    </w:p>
    <w:p w14:paraId="2B6E0231">
      <w:pPr>
        <w:autoSpaceDE w:val="0"/>
        <w:autoSpaceDN w:val="0"/>
        <w:adjustRightInd w:val="0"/>
        <w:spacing w:line="46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八、本合同自签订之日起生效，双方履行完毕后，自然终止。</w:t>
      </w:r>
    </w:p>
    <w:p w14:paraId="1B8536AA">
      <w:pPr>
        <w:autoSpaceDE w:val="0"/>
        <w:autoSpaceDN w:val="0"/>
        <w:adjustRightInd w:val="0"/>
        <w:spacing w:line="46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九、如有未尽事宜，买卖双方同意按照《梅州市嘉应粮食交易中心竞价交易规则》、</w:t>
      </w:r>
      <w:r>
        <w:rPr>
          <w:rFonts w:hint="eastAsia" w:ascii="宋体" w:hAnsi="宋体"/>
          <w:kern w:val="0"/>
          <w:sz w:val="24"/>
        </w:rPr>
        <w:t>《梅州市嘉应粮食交易中心竞价交易细则》</w:t>
      </w:r>
      <w:r>
        <w:rPr>
          <w:rFonts w:hint="eastAsia" w:ascii="宋体" w:hAnsi="宋体" w:eastAsia="宋体" w:cs="Times New Roman"/>
          <w:sz w:val="24"/>
          <w:szCs w:val="24"/>
        </w:rPr>
        <w:t>的相关条款协商解决。协商不成的，提交有关部门或通过法律程序解决。</w:t>
      </w:r>
    </w:p>
    <w:p w14:paraId="378349C5">
      <w:pPr>
        <w:autoSpaceDE w:val="0"/>
        <w:autoSpaceDN w:val="0"/>
        <w:adjustRightInd w:val="0"/>
        <w:spacing w:line="46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十、本合同一式三份，买卖双方、确认单位各执一份。</w:t>
      </w:r>
    </w:p>
    <w:p w14:paraId="4F0A6FC6">
      <w:pPr>
        <w:autoSpaceDE w:val="0"/>
        <w:autoSpaceDN w:val="0"/>
        <w:adjustRightInd w:val="0"/>
        <w:spacing w:line="460" w:lineRule="exact"/>
        <w:ind w:firstLine="480" w:firstLineChars="200"/>
        <w:rPr>
          <w:rFonts w:ascii="宋体" w:hAnsi="宋体" w:eastAsia="宋体" w:cs="Times New Roman"/>
          <w:sz w:val="24"/>
          <w:szCs w:val="24"/>
        </w:rPr>
      </w:pPr>
    </w:p>
    <w:p w14:paraId="7AA8A25D">
      <w:pPr>
        <w:autoSpaceDE w:val="0"/>
        <w:autoSpaceDN w:val="0"/>
        <w:adjustRightInd w:val="0"/>
        <w:spacing w:line="460" w:lineRule="exact"/>
        <w:rPr>
          <w:rFonts w:ascii="宋体" w:hAnsi="宋体" w:eastAsia="宋体" w:cs="Times New Roman"/>
          <w:kern w:val="0"/>
          <w:sz w:val="24"/>
          <w:szCs w:val="24"/>
        </w:rPr>
      </w:pPr>
      <w:r>
        <w:rPr>
          <w:rFonts w:hint="eastAsia" w:ascii="宋体" w:hAnsi="宋体" w:eastAsia="宋体" w:cs="Times New Roman"/>
          <w:kern w:val="0"/>
          <w:sz w:val="24"/>
          <w:szCs w:val="24"/>
        </w:rPr>
        <w:t xml:space="preserve">买方单位（盖章）：                      卖方单位（盖章）： </w:t>
      </w:r>
    </w:p>
    <w:p w14:paraId="74AB034E">
      <w:pPr>
        <w:autoSpaceDE w:val="0"/>
        <w:autoSpaceDN w:val="0"/>
        <w:adjustRightInd w:val="0"/>
        <w:spacing w:line="460" w:lineRule="exact"/>
        <w:rPr>
          <w:rFonts w:ascii="宋体" w:hAnsi="宋体" w:eastAsia="宋体" w:cs="Times New Roman"/>
          <w:kern w:val="0"/>
          <w:sz w:val="24"/>
          <w:szCs w:val="24"/>
        </w:rPr>
      </w:pPr>
    </w:p>
    <w:p w14:paraId="57036A56">
      <w:pPr>
        <w:autoSpaceDE w:val="0"/>
        <w:autoSpaceDN w:val="0"/>
        <w:adjustRightInd w:val="0"/>
        <w:spacing w:line="460" w:lineRule="exact"/>
        <w:rPr>
          <w:rFonts w:ascii="宋体" w:hAnsi="宋体" w:eastAsia="宋体" w:cs="Times New Roman"/>
          <w:kern w:val="0"/>
          <w:sz w:val="24"/>
          <w:szCs w:val="24"/>
        </w:rPr>
      </w:pPr>
      <w:r>
        <w:rPr>
          <w:rFonts w:hint="eastAsia" w:ascii="宋体" w:hAnsi="宋体" w:eastAsia="宋体" w:cs="Times New Roman"/>
          <w:kern w:val="0"/>
          <w:sz w:val="24"/>
          <w:szCs w:val="24"/>
        </w:rPr>
        <w:t>法定代表人（签字）：                    法定代表人（签字）：</w:t>
      </w:r>
    </w:p>
    <w:p w14:paraId="23FF6D15">
      <w:pPr>
        <w:spacing w:line="500" w:lineRule="exact"/>
        <w:rPr>
          <w:rFonts w:ascii="宋体" w:hAnsi="宋体" w:eastAsia="宋体" w:cs="Times New Roman"/>
          <w:kern w:val="0"/>
          <w:sz w:val="24"/>
          <w:szCs w:val="24"/>
        </w:rPr>
      </w:pPr>
    </w:p>
    <w:p w14:paraId="66DD2FA2">
      <w:pPr>
        <w:autoSpaceDE w:val="0"/>
        <w:autoSpaceDN w:val="0"/>
        <w:adjustRightInd w:val="0"/>
        <w:spacing w:line="500" w:lineRule="exact"/>
        <w:rPr>
          <w:rFonts w:ascii="宋体" w:hAnsi="宋体" w:eastAsia="宋体" w:cs="Times New Roman"/>
          <w:kern w:val="0"/>
          <w:sz w:val="24"/>
          <w:szCs w:val="24"/>
        </w:rPr>
      </w:pPr>
      <w:r>
        <w:rPr>
          <w:rFonts w:hint="eastAsia" w:ascii="宋体" w:hAnsi="宋体" w:eastAsia="宋体" w:cs="Times New Roman"/>
          <w:kern w:val="0"/>
          <w:sz w:val="24"/>
          <w:szCs w:val="24"/>
        </w:rPr>
        <w:t>买方单位：大埔县兴丰粮食收储有限公司</w:t>
      </w:r>
    </w:p>
    <w:p w14:paraId="77955B01">
      <w:pPr>
        <w:autoSpaceDE w:val="0"/>
        <w:autoSpaceDN w:val="0"/>
        <w:adjustRightInd w:val="0"/>
        <w:spacing w:line="500" w:lineRule="exact"/>
        <w:rPr>
          <w:rFonts w:ascii="宋体" w:hAnsi="宋体" w:eastAsia="宋体" w:cs="Times New Roman"/>
          <w:kern w:val="0"/>
          <w:sz w:val="24"/>
          <w:szCs w:val="24"/>
        </w:rPr>
      </w:pPr>
      <w:r>
        <w:rPr>
          <w:rFonts w:hint="eastAsia" w:ascii="宋体" w:hAnsi="宋体" w:eastAsia="宋体" w:cs="Times New Roman"/>
          <w:kern w:val="0"/>
          <w:sz w:val="24"/>
          <w:szCs w:val="24"/>
        </w:rPr>
        <w:t>电话（传真）：0753-5522338</w:t>
      </w:r>
    </w:p>
    <w:p w14:paraId="5C7606B3">
      <w:pPr>
        <w:spacing w:line="500" w:lineRule="exact"/>
        <w:rPr>
          <w:rFonts w:ascii="宋体" w:hAnsi="宋体" w:eastAsia="宋体" w:cs="Times New Roman"/>
          <w:kern w:val="0"/>
          <w:sz w:val="24"/>
          <w:szCs w:val="24"/>
        </w:rPr>
      </w:pPr>
    </w:p>
    <w:p w14:paraId="083AF324">
      <w:pPr>
        <w:spacing w:line="500" w:lineRule="exact"/>
        <w:rPr>
          <w:rFonts w:ascii="宋体" w:hAnsi="宋体" w:eastAsia="宋体" w:cs="Times New Roman"/>
          <w:sz w:val="24"/>
          <w:szCs w:val="24"/>
        </w:rPr>
      </w:pPr>
      <w:r>
        <w:rPr>
          <w:rFonts w:hint="eastAsia" w:ascii="宋体" w:hAnsi="宋体" w:eastAsia="宋体" w:cs="Times New Roman"/>
          <w:sz w:val="24"/>
          <w:szCs w:val="24"/>
        </w:rPr>
        <w:t>确认单位：梅州市嘉应粮食交易中心有限公司</w:t>
      </w:r>
    </w:p>
    <w:p w14:paraId="109ADCF0">
      <w:pPr>
        <w:jc w:val="right"/>
        <w:rPr>
          <w:rFonts w:ascii="宋体" w:hAnsi="宋体" w:eastAsia="宋体" w:cs="Times New Roman"/>
          <w:sz w:val="24"/>
          <w:szCs w:val="24"/>
        </w:rPr>
      </w:pPr>
    </w:p>
    <w:p w14:paraId="2A95239A">
      <w:pPr>
        <w:ind w:right="960"/>
        <w:jc w:val="center"/>
        <w:rPr>
          <w:rFonts w:hint="eastAsia" w:ascii="宋体" w:hAnsi="宋体" w:eastAsia="宋体" w:cs="Times New Roman"/>
          <w:sz w:val="24"/>
          <w:szCs w:val="24"/>
        </w:rPr>
      </w:pPr>
      <w:r>
        <w:rPr>
          <w:rFonts w:hint="eastAsia" w:ascii="宋体" w:hAnsi="宋体" w:eastAsia="宋体" w:cs="Times New Roman"/>
          <w:sz w:val="24"/>
          <w:szCs w:val="24"/>
        </w:rPr>
        <w:t xml:space="preserve">                             </w:t>
      </w:r>
    </w:p>
    <w:p w14:paraId="01BD0C92">
      <w:pPr>
        <w:ind w:right="960"/>
        <w:jc w:val="center"/>
        <w:rPr>
          <w:rFonts w:hint="eastAsia" w:ascii="宋体" w:hAnsi="宋体" w:eastAsia="宋体" w:cs="Times New Roman"/>
          <w:sz w:val="24"/>
          <w:szCs w:val="24"/>
        </w:rPr>
      </w:pPr>
      <w:r>
        <w:rPr>
          <w:rFonts w:hint="eastAsia" w:ascii="宋体" w:hAnsi="宋体" w:eastAsia="宋体" w:cs="Times New Roman"/>
          <w:sz w:val="24"/>
          <w:szCs w:val="24"/>
        </w:rPr>
        <w:t>　　　　　　　　　　　　　　　　　　　　　</w:t>
      </w:r>
    </w:p>
    <w:p w14:paraId="5F85E4CA">
      <w:pPr>
        <w:ind w:right="960"/>
        <w:jc w:val="center"/>
        <w:rPr>
          <w:rFonts w:hint="eastAsia" w:ascii="宋体" w:hAnsi="宋体" w:eastAsia="宋体" w:cs="Times New Roman"/>
          <w:sz w:val="24"/>
          <w:szCs w:val="24"/>
        </w:rPr>
      </w:pPr>
    </w:p>
    <w:p w14:paraId="3690FC31">
      <w:pPr>
        <w:ind w:right="960"/>
        <w:jc w:val="center"/>
        <w:rPr>
          <w:rFonts w:hint="eastAsia" w:ascii="宋体" w:hAnsi="宋体" w:eastAsia="宋体" w:cs="Times New Roman"/>
          <w:sz w:val="24"/>
          <w:szCs w:val="24"/>
        </w:rPr>
        <w:sectPr>
          <w:footerReference r:id="rId3" w:type="default"/>
          <w:pgSz w:w="11906" w:h="16838"/>
          <w:pgMar w:top="1440" w:right="1797" w:bottom="1304" w:left="1797" w:header="851" w:footer="992" w:gutter="0"/>
          <w:cols w:space="425" w:num="1"/>
          <w:docGrid w:type="lines" w:linePitch="312" w:charSpace="0"/>
        </w:sectPr>
      </w:pPr>
      <w:r>
        <w:rPr>
          <w:rFonts w:hint="eastAsia" w:ascii="宋体" w:hAnsi="宋体" w:eastAsia="宋体" w:cs="Times New Roman"/>
          <w:sz w:val="24"/>
          <w:szCs w:val="24"/>
        </w:rPr>
        <w:t>　　　　　　　　　　　　　　　　　　　　　2024年    月    日</w:t>
      </w:r>
    </w:p>
    <w:p w14:paraId="5D95C5ED">
      <w:pPr>
        <w:spacing w:line="540" w:lineRule="exact"/>
        <w:jc w:val="center"/>
        <w:rPr>
          <w:rFonts w:hint="eastAsia" w:cs="微软雅黑" w:asciiTheme="minorEastAsia" w:hAnsiTheme="minorEastAsia"/>
          <w:b/>
          <w:sz w:val="44"/>
          <w:szCs w:val="44"/>
          <w:highlight w:val="none"/>
        </w:rPr>
      </w:pPr>
    </w:p>
    <w:p w14:paraId="4F42D3D5">
      <w:pPr>
        <w:spacing w:line="540" w:lineRule="exact"/>
        <w:jc w:val="center"/>
        <w:rPr>
          <w:rFonts w:cs="微软雅黑" w:asciiTheme="minorEastAsia" w:hAnsiTheme="minorEastAsia"/>
          <w:b/>
          <w:sz w:val="44"/>
          <w:szCs w:val="44"/>
          <w:highlight w:val="none"/>
        </w:rPr>
      </w:pPr>
      <w:r>
        <w:rPr>
          <w:rFonts w:hint="eastAsia" w:cs="微软雅黑" w:asciiTheme="minorEastAsia" w:hAnsiTheme="minorEastAsia"/>
          <w:b/>
          <w:sz w:val="44"/>
          <w:szCs w:val="44"/>
          <w:highlight w:val="none"/>
        </w:rPr>
        <w:t>县级储备</w:t>
      </w:r>
      <w:r>
        <w:rPr>
          <w:rFonts w:cs="微软雅黑" w:asciiTheme="minorEastAsia" w:hAnsiTheme="minorEastAsia"/>
          <w:b/>
          <w:sz w:val="44"/>
          <w:szCs w:val="44"/>
          <w:highlight w:val="none"/>
        </w:rPr>
        <w:t>食用植物油包干轮换协议</w:t>
      </w:r>
    </w:p>
    <w:p w14:paraId="1A86DFCD">
      <w:pPr>
        <w:spacing w:line="540" w:lineRule="exact"/>
        <w:jc w:val="center"/>
        <w:rPr>
          <w:rFonts w:ascii="微软雅黑" w:hAnsi="微软雅黑" w:eastAsia="微软雅黑" w:cs="微软雅黑"/>
          <w:sz w:val="44"/>
          <w:szCs w:val="44"/>
          <w:highlight w:val="none"/>
        </w:rPr>
      </w:pPr>
    </w:p>
    <w:p w14:paraId="60291073">
      <w:pPr>
        <w:spacing w:line="720" w:lineRule="auto"/>
        <w:rPr>
          <w:rFonts w:ascii="仿宋_GB2312" w:eastAsia="仿宋_GB2312"/>
          <w:b/>
          <w:sz w:val="32"/>
          <w:szCs w:val="32"/>
          <w:highlight w:val="none"/>
        </w:rPr>
      </w:pPr>
      <w:r>
        <w:rPr>
          <w:rFonts w:hint="eastAsia" w:ascii="仿宋_GB2312" w:eastAsia="仿宋_GB2312"/>
          <w:b/>
          <w:sz w:val="32"/>
          <w:szCs w:val="32"/>
          <w:highlight w:val="none"/>
        </w:rPr>
        <w:t>甲方：</w:t>
      </w:r>
      <w:r>
        <w:rPr>
          <w:rFonts w:hint="eastAsia" w:ascii="仿宋_GB2312" w:eastAsia="仿宋_GB2312"/>
          <w:bCs/>
          <w:sz w:val="32"/>
          <w:szCs w:val="32"/>
          <w:highlight w:val="none"/>
        </w:rPr>
        <w:t xml:space="preserve">大埔县兴丰粮食收储有限公司 </w:t>
      </w:r>
      <w:r>
        <w:rPr>
          <w:rFonts w:hint="eastAsia" w:ascii="仿宋_GB2312" w:eastAsia="仿宋_GB2312"/>
          <w:b/>
          <w:sz w:val="32"/>
          <w:szCs w:val="32"/>
          <w:highlight w:val="none"/>
        </w:rPr>
        <w:t xml:space="preserve">         </w:t>
      </w:r>
    </w:p>
    <w:p w14:paraId="29B22923">
      <w:pPr>
        <w:spacing w:line="720" w:lineRule="auto"/>
        <w:rPr>
          <w:rFonts w:ascii="仿宋_GB2312" w:eastAsia="仿宋_GB2312"/>
          <w:b/>
          <w:sz w:val="32"/>
          <w:szCs w:val="32"/>
          <w:highlight w:val="none"/>
        </w:rPr>
      </w:pPr>
      <w:r>
        <w:rPr>
          <w:rFonts w:hint="eastAsia" w:ascii="仿宋_GB2312" w:eastAsia="仿宋_GB2312"/>
          <w:b/>
          <w:sz w:val="32"/>
          <w:szCs w:val="32"/>
          <w:highlight w:val="none"/>
        </w:rPr>
        <w:t>乙方：</w:t>
      </w:r>
      <w:r>
        <w:rPr>
          <w:rFonts w:ascii="仿宋_GB2312" w:eastAsia="仿宋_GB2312"/>
          <w:b/>
          <w:sz w:val="32"/>
          <w:szCs w:val="32"/>
          <w:highlight w:val="none"/>
        </w:rPr>
        <w:t xml:space="preserve"> </w:t>
      </w:r>
    </w:p>
    <w:p w14:paraId="5E3DBF51">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根据《广东省粮食和物资储备局 广东省财政厅 中国农业银行广东省分行 关于进一步加强地方储粮轮换管理的通知》（粤粮调〔2020〕167号）和《广东省省级储备食用植物油管理实施细则(试行)》有关规定，大埔县县级储备油轮换合作事宜，经甲乙双方协商达成如下协议：</w:t>
      </w:r>
    </w:p>
    <w:p w14:paraId="2D3C785D">
      <w:pPr>
        <w:spacing w:line="560" w:lineRule="exact"/>
        <w:ind w:firstLine="643" w:firstLineChars="200"/>
        <w:rPr>
          <w:rFonts w:ascii="仿宋_GB2312" w:eastAsia="仿宋_GB2312"/>
          <w:b/>
          <w:sz w:val="32"/>
          <w:szCs w:val="32"/>
          <w:highlight w:val="none"/>
        </w:rPr>
      </w:pPr>
      <w:r>
        <w:rPr>
          <w:rFonts w:hint="eastAsia" w:ascii="仿宋_GB2312" w:eastAsia="仿宋_GB2312"/>
          <w:b/>
          <w:sz w:val="32"/>
          <w:szCs w:val="32"/>
          <w:highlight w:val="none"/>
        </w:rPr>
        <w:t>一、协议标的、及储存地点</w:t>
      </w:r>
    </w:p>
    <w:p w14:paraId="525C1A91">
      <w:pPr>
        <w:spacing w:line="560" w:lineRule="exact"/>
        <w:ind w:firstLine="640" w:firstLineChars="200"/>
        <w:rPr>
          <w:rFonts w:ascii="仿宋_GB2312" w:eastAsia="仿宋_GB2312"/>
          <w:sz w:val="32"/>
          <w:szCs w:val="32"/>
          <w:highlight w:val="none"/>
        </w:rPr>
      </w:pPr>
      <w:r>
        <w:rPr>
          <w:rFonts w:hint="eastAsia" w:ascii="仿宋_GB2312" w:eastAsia="仿宋_GB2312"/>
          <w:bCs/>
          <w:sz w:val="32"/>
          <w:szCs w:val="32"/>
          <w:highlight w:val="none"/>
        </w:rPr>
        <w:t>1.</w:t>
      </w:r>
      <w:r>
        <w:rPr>
          <w:rFonts w:hint="eastAsia" w:ascii="仿宋_GB2312" w:eastAsia="仿宋_GB2312"/>
          <w:sz w:val="32"/>
          <w:szCs w:val="32"/>
          <w:highlight w:val="none"/>
        </w:rPr>
        <w:t>品种：以国家承认生产厂家生产的食用植物油为标准。</w:t>
      </w:r>
    </w:p>
    <w:p w14:paraId="02EBF885">
      <w:pPr>
        <w:spacing w:line="560" w:lineRule="exact"/>
        <w:ind w:firstLine="640" w:firstLineChars="200"/>
        <w:rPr>
          <w:rFonts w:ascii="仿宋_GB2312" w:eastAsia="仿宋_GB2312"/>
          <w:sz w:val="32"/>
          <w:szCs w:val="32"/>
          <w:highlight w:val="none"/>
        </w:rPr>
      </w:pPr>
      <w:r>
        <w:rPr>
          <w:rFonts w:hint="eastAsia" w:ascii="仿宋_GB2312" w:eastAsia="仿宋_GB2312"/>
          <w:bCs/>
          <w:sz w:val="32"/>
          <w:szCs w:val="32"/>
          <w:highlight w:val="none"/>
        </w:rPr>
        <w:t>2.</w:t>
      </w:r>
      <w:r>
        <w:rPr>
          <w:rFonts w:hint="eastAsia" w:ascii="仿宋_GB2312" w:eastAsia="仿宋_GB2312"/>
          <w:sz w:val="32"/>
          <w:szCs w:val="32"/>
          <w:highlight w:val="none"/>
        </w:rPr>
        <w:t>数量：叁拾叁吨（33000公斤、约为35870升，按（5×4）或（10×2）包装规格计算约为1794件）。</w:t>
      </w:r>
    </w:p>
    <w:p w14:paraId="6D64C918">
      <w:pPr>
        <w:spacing w:line="560" w:lineRule="exact"/>
        <w:ind w:firstLine="640" w:firstLineChars="200"/>
        <w:rPr>
          <w:rFonts w:ascii="仿宋_GB2312" w:eastAsia="仿宋_GB2312"/>
          <w:sz w:val="32"/>
          <w:szCs w:val="32"/>
          <w:highlight w:val="none"/>
        </w:rPr>
      </w:pPr>
      <w:r>
        <w:rPr>
          <w:rFonts w:hint="eastAsia" w:ascii="仿宋_GB2312" w:eastAsia="仿宋_GB2312"/>
          <w:bCs/>
          <w:sz w:val="32"/>
          <w:szCs w:val="32"/>
          <w:highlight w:val="none"/>
        </w:rPr>
        <w:t>3.</w:t>
      </w:r>
      <w:r>
        <w:rPr>
          <w:rFonts w:hint="eastAsia" w:ascii="仿宋_GB2312" w:eastAsia="仿宋_GB2312"/>
          <w:sz w:val="32"/>
          <w:szCs w:val="32"/>
          <w:highlight w:val="none"/>
        </w:rPr>
        <w:t>金额：按农发行首次贷款为人民币</w:t>
      </w:r>
      <w:r>
        <w:rPr>
          <w:rFonts w:hint="eastAsia" w:ascii="仿宋_GB2312" w:eastAsia="仿宋_GB2312"/>
          <w:sz w:val="32"/>
          <w:szCs w:val="32"/>
          <w:highlight w:val="none"/>
          <w:lang w:val="en-US" w:eastAsia="zh-CN"/>
        </w:rPr>
        <w:t>XXX</w:t>
      </w:r>
      <w:r>
        <w:rPr>
          <w:rFonts w:hint="eastAsia" w:ascii="仿宋_GB2312" w:eastAsia="仿宋_GB2312"/>
          <w:sz w:val="32"/>
          <w:szCs w:val="32"/>
          <w:highlight w:val="none"/>
        </w:rPr>
        <w:t>元整（小写：</w:t>
      </w:r>
      <w:r>
        <w:rPr>
          <w:rFonts w:hint="eastAsia" w:ascii="仿宋_GB2312" w:eastAsia="仿宋_GB2312"/>
          <w:sz w:val="32"/>
          <w:szCs w:val="32"/>
          <w:highlight w:val="none"/>
          <w:lang w:val="en-US" w:eastAsia="zh-CN"/>
        </w:rPr>
        <w:t>XXX</w:t>
      </w:r>
      <w:r>
        <w:rPr>
          <w:rFonts w:hint="eastAsia" w:ascii="仿宋_GB2312" w:eastAsia="仿宋_GB2312"/>
          <w:sz w:val="32"/>
          <w:szCs w:val="32"/>
          <w:highlight w:val="none"/>
        </w:rPr>
        <w:t>元）。</w:t>
      </w:r>
    </w:p>
    <w:p w14:paraId="2347A48C">
      <w:pPr>
        <w:spacing w:line="560" w:lineRule="exact"/>
        <w:ind w:firstLine="640" w:firstLineChars="200"/>
        <w:rPr>
          <w:rFonts w:ascii="仿宋_GB2312" w:eastAsia="仿宋_GB2312"/>
          <w:sz w:val="32"/>
          <w:szCs w:val="32"/>
          <w:highlight w:val="none"/>
        </w:rPr>
      </w:pPr>
      <w:r>
        <w:rPr>
          <w:rFonts w:hint="eastAsia" w:ascii="仿宋_GB2312" w:eastAsia="仿宋_GB2312"/>
          <w:bCs/>
          <w:sz w:val="32"/>
          <w:szCs w:val="32"/>
          <w:highlight w:val="none"/>
        </w:rPr>
        <w:t>4.</w:t>
      </w:r>
      <w:r>
        <w:rPr>
          <w:rFonts w:hint="eastAsia" w:ascii="仿宋_GB2312" w:eastAsia="仿宋_GB2312"/>
          <w:sz w:val="32"/>
          <w:szCs w:val="32"/>
          <w:highlight w:val="none"/>
        </w:rPr>
        <w:t>储存地点：大埔县兴丰粮食收储有限公司五虎山粮库及销售门市。</w:t>
      </w:r>
    </w:p>
    <w:p w14:paraId="47167FD4">
      <w:pPr>
        <w:spacing w:line="560" w:lineRule="exact"/>
        <w:ind w:firstLine="643" w:firstLineChars="200"/>
        <w:rPr>
          <w:rFonts w:ascii="仿宋_GB2312" w:eastAsia="仿宋_GB2312"/>
          <w:b/>
          <w:sz w:val="32"/>
          <w:szCs w:val="32"/>
          <w:highlight w:val="none"/>
        </w:rPr>
      </w:pPr>
      <w:r>
        <w:rPr>
          <w:rFonts w:hint="eastAsia" w:ascii="仿宋_GB2312" w:eastAsia="仿宋_GB2312"/>
          <w:b/>
          <w:sz w:val="32"/>
          <w:szCs w:val="32"/>
          <w:highlight w:val="none"/>
        </w:rPr>
        <w:t>二、轮换方式</w:t>
      </w:r>
    </w:p>
    <w:p w14:paraId="421C9CAC">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县级储备油轮换采取先进先出，后进后出的滚动方式进行，由乙方负责储备油的销售、轮换工作。双方合作前提是确保储备油任何时点实物库存不低于承储计划的90%(即33吨×90%=29.7吨)。</w:t>
      </w:r>
    </w:p>
    <w:p w14:paraId="2596E2D5">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甲乙双方共同做好县级储备油的仓储管理、轮换管理工作，做到随时经得起政府和上级业务主管部门的检查，当政府动用储备油时，乙方应无条件保证甲方油库内有33吨食用植物油供应市场。</w:t>
      </w:r>
    </w:p>
    <w:p w14:paraId="39978955">
      <w:pPr>
        <w:spacing w:line="560" w:lineRule="exact"/>
        <w:ind w:firstLine="643" w:firstLineChars="200"/>
        <w:rPr>
          <w:rFonts w:ascii="仿宋_GB2312" w:eastAsia="仿宋_GB2312"/>
          <w:b/>
          <w:sz w:val="32"/>
          <w:szCs w:val="32"/>
          <w:highlight w:val="none"/>
        </w:rPr>
      </w:pPr>
      <w:r>
        <w:rPr>
          <w:rFonts w:hint="eastAsia" w:ascii="仿宋_GB2312" w:eastAsia="仿宋_GB2312"/>
          <w:b/>
          <w:sz w:val="32"/>
          <w:szCs w:val="32"/>
          <w:highlight w:val="none"/>
        </w:rPr>
        <w:t>三、质量、卫生标准</w:t>
      </w:r>
    </w:p>
    <w:p w14:paraId="78F7E96C">
      <w:pPr>
        <w:spacing w:line="560" w:lineRule="exact"/>
        <w:ind w:firstLine="616" w:firstLineChars="200"/>
        <w:rPr>
          <w:rFonts w:ascii="仿宋_GB2312" w:eastAsia="仿宋_GB2312"/>
          <w:spacing w:val="-6"/>
          <w:sz w:val="32"/>
          <w:szCs w:val="32"/>
          <w:highlight w:val="none"/>
        </w:rPr>
      </w:pPr>
      <w:r>
        <w:rPr>
          <w:rFonts w:hint="eastAsia" w:ascii="仿宋_GB2312" w:eastAsia="仿宋_GB2312"/>
          <w:spacing w:val="-6"/>
          <w:sz w:val="32"/>
          <w:szCs w:val="32"/>
          <w:highlight w:val="none"/>
        </w:rPr>
        <w:t>采购的食用植物油为近期加工的产品，各项常规指标符合相关产品国家标准要求，储存品质指标符合宜存要求，食品安全指标符合食品安全国家标准（《食品安全国家标准 植物油》（GB2716-2018））相关标准规定。并提供生产厂家同批次合格的质量检测报告。</w:t>
      </w:r>
    </w:p>
    <w:p w14:paraId="50860D90">
      <w:pPr>
        <w:spacing w:line="560" w:lineRule="exact"/>
        <w:ind w:firstLine="643" w:firstLineChars="200"/>
        <w:rPr>
          <w:rFonts w:ascii="仿宋_GB2312" w:eastAsia="仿宋_GB2312"/>
          <w:b/>
          <w:sz w:val="32"/>
          <w:szCs w:val="32"/>
          <w:highlight w:val="none"/>
        </w:rPr>
      </w:pPr>
      <w:r>
        <w:rPr>
          <w:rFonts w:hint="eastAsia" w:ascii="仿宋_GB2312" w:eastAsia="仿宋_GB2312"/>
          <w:b/>
          <w:sz w:val="32"/>
          <w:szCs w:val="32"/>
          <w:highlight w:val="none"/>
        </w:rPr>
        <w:t>四、储备油权属</w:t>
      </w:r>
    </w:p>
    <w:p w14:paraId="189FD085">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储备油权属大埔县人民政府。县政府需要动用储备油时，由县发展改革局委托甲方全权处理，按《大埔县粮食应急预案》有关程序执行。乙方接到甲方通知后，立即封存储备油，由县政府统一调配使用。</w:t>
      </w:r>
    </w:p>
    <w:p w14:paraId="340E26D4">
      <w:pPr>
        <w:spacing w:line="560" w:lineRule="exact"/>
        <w:ind w:firstLine="643" w:firstLineChars="200"/>
        <w:rPr>
          <w:rFonts w:ascii="仿宋_GB2312" w:eastAsia="仿宋_GB2312"/>
          <w:b/>
          <w:sz w:val="32"/>
          <w:szCs w:val="32"/>
          <w:highlight w:val="none"/>
        </w:rPr>
      </w:pPr>
      <w:r>
        <w:rPr>
          <w:rFonts w:hint="eastAsia" w:ascii="仿宋_GB2312" w:eastAsia="仿宋_GB2312"/>
          <w:b/>
          <w:sz w:val="32"/>
          <w:szCs w:val="32"/>
          <w:highlight w:val="none"/>
        </w:rPr>
        <w:t>五、甲方责任</w:t>
      </w:r>
    </w:p>
    <w:p w14:paraId="4769340E">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1.甲方出资XXX万元购买县级储备油33吨。</w:t>
      </w:r>
    </w:p>
    <w:p w14:paraId="54EA8D37">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2.甲方负责县级储备油的日常保管工作。县级储备油存放在五虎山粮库。购买储备油的货款、利息、仓租、水电等费用及甲方管理人员的工资、福利等由甲方负责。</w:t>
      </w:r>
    </w:p>
    <w:p w14:paraId="0B263EC3">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3.甲方按食用植物油存储计划33吨，每年</w:t>
      </w:r>
      <w:r>
        <w:rPr>
          <w:rFonts w:hint="eastAsia" w:ascii="仿宋_GB2312" w:eastAsia="仿宋_GB2312"/>
          <w:sz w:val="32"/>
          <w:szCs w:val="32"/>
          <w:highlight w:val="none"/>
          <w:lang w:val="en-US" w:eastAsia="zh-CN"/>
        </w:rPr>
        <w:t>XXX</w:t>
      </w:r>
      <w:r>
        <w:rPr>
          <w:rFonts w:hint="eastAsia" w:ascii="仿宋_GB2312" w:eastAsia="仿宋_GB2312"/>
          <w:bCs/>
          <w:sz w:val="32"/>
          <w:szCs w:val="32"/>
          <w:highlight w:val="none"/>
        </w:rPr>
        <w:t>元/吨的标准付给乙方储备油轮换费用，每满1年进行结算，乙方需提前十五天按照甲方要求开具正式发票，7个工作日内付清款项。</w:t>
      </w:r>
    </w:p>
    <w:p w14:paraId="4567E1DD">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4.</w:t>
      </w:r>
      <w:r>
        <w:rPr>
          <w:rFonts w:ascii="仿宋_GB2312" w:eastAsia="仿宋_GB2312"/>
          <w:bCs/>
          <w:sz w:val="32"/>
          <w:szCs w:val="32"/>
          <w:highlight w:val="none"/>
        </w:rPr>
        <w:t>甲方有权检查和监督乙方</w:t>
      </w:r>
      <w:r>
        <w:rPr>
          <w:rFonts w:hint="eastAsia" w:ascii="仿宋_GB2312" w:eastAsia="仿宋_GB2312"/>
          <w:bCs/>
          <w:sz w:val="32"/>
          <w:szCs w:val="32"/>
          <w:highlight w:val="none"/>
        </w:rPr>
        <w:t>，并配合</w:t>
      </w:r>
      <w:r>
        <w:rPr>
          <w:rFonts w:ascii="仿宋_GB2312" w:eastAsia="仿宋_GB2312"/>
          <w:bCs/>
          <w:sz w:val="32"/>
          <w:szCs w:val="32"/>
          <w:highlight w:val="none"/>
        </w:rPr>
        <w:t>做好县级储备油的轮换工作</w:t>
      </w:r>
      <w:r>
        <w:rPr>
          <w:rFonts w:hint="eastAsia" w:ascii="仿宋_GB2312" w:eastAsia="仿宋_GB2312"/>
          <w:bCs/>
          <w:sz w:val="32"/>
          <w:szCs w:val="32"/>
          <w:highlight w:val="none"/>
        </w:rPr>
        <w:t>。确保库存数量真实、质量合格，任何时点实物库存不低于承储计划的90%(29.7吨)。</w:t>
      </w:r>
    </w:p>
    <w:p w14:paraId="01D8F915">
      <w:pPr>
        <w:spacing w:line="560" w:lineRule="exact"/>
        <w:ind w:firstLine="643" w:firstLineChars="200"/>
        <w:rPr>
          <w:rFonts w:ascii="仿宋_GB2312" w:eastAsia="仿宋_GB2312"/>
          <w:b/>
          <w:sz w:val="32"/>
          <w:szCs w:val="32"/>
          <w:highlight w:val="none"/>
        </w:rPr>
      </w:pPr>
      <w:r>
        <w:rPr>
          <w:rFonts w:hint="eastAsia" w:ascii="仿宋_GB2312" w:eastAsia="仿宋_GB2312"/>
          <w:b/>
          <w:sz w:val="32"/>
          <w:szCs w:val="32"/>
          <w:highlight w:val="none"/>
        </w:rPr>
        <w:t>六、乙方责任</w:t>
      </w:r>
    </w:p>
    <w:p w14:paraId="25738796">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1.乙方负责储备油的动态轮换，储备油每年的轮换不得少于2次,确保协议期内库存储备油的质量合格、安全卫生。并任何时点实物库存不低于承储计划的90%(29.7吨)，当库存≤29.7吨时乙方不能再从甲方仓库提货。</w:t>
      </w:r>
    </w:p>
    <w:p w14:paraId="04FCD626">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2.甲方付给乙方每年每吨</w:t>
      </w:r>
      <w:r>
        <w:rPr>
          <w:rFonts w:hint="eastAsia" w:ascii="仿宋_GB2312" w:eastAsia="仿宋_GB2312"/>
          <w:sz w:val="32"/>
          <w:szCs w:val="32"/>
          <w:highlight w:val="none"/>
          <w:lang w:val="en-US" w:eastAsia="zh-CN"/>
        </w:rPr>
        <w:t>XXX</w:t>
      </w:r>
      <w:r>
        <w:rPr>
          <w:rFonts w:hint="eastAsia" w:ascii="仿宋_GB2312" w:eastAsia="仿宋_GB2312"/>
          <w:bCs/>
          <w:sz w:val="32"/>
          <w:szCs w:val="32"/>
          <w:highlight w:val="none"/>
        </w:rPr>
        <w:t>元的轮换费（需开具正式发票）,乙方对储备油轮换实行自主轮换、市场运作、实现常储常新，并承担相应的风险。轮换中发生的运输、搬运、盈亏等一切费用由乙方承担，乙方参与储备油轮换管理人员所产生的工资、福利、安全等费用由乙方负责。</w:t>
      </w:r>
    </w:p>
    <w:p w14:paraId="2B6F8EB2">
      <w:pPr>
        <w:spacing w:line="500" w:lineRule="exact"/>
        <w:ind w:firstLine="640" w:firstLineChars="200"/>
        <w:rPr>
          <w:rFonts w:ascii="仿宋_GB2312" w:hAnsi="仿宋_GB2312" w:eastAsia="仿宋_GB2312" w:cs="仿宋_GB2312"/>
          <w:color w:val="auto"/>
          <w:sz w:val="24"/>
          <w:szCs w:val="24"/>
          <w:highlight w:val="none"/>
        </w:rPr>
      </w:pPr>
      <w:r>
        <w:rPr>
          <w:rFonts w:hint="eastAsia" w:ascii="仿宋_GB2312" w:eastAsia="仿宋_GB2312"/>
          <w:bCs/>
          <w:color w:val="auto"/>
          <w:sz w:val="32"/>
          <w:szCs w:val="32"/>
          <w:highlight w:val="none"/>
        </w:rPr>
        <w:t>3、在双方签订本</w:t>
      </w:r>
      <w:r>
        <w:rPr>
          <w:rFonts w:hint="eastAsia" w:ascii="仿宋_GB2312" w:eastAsia="仿宋_GB2312"/>
          <w:bCs/>
          <w:color w:val="auto"/>
          <w:sz w:val="32"/>
          <w:szCs w:val="32"/>
          <w:highlight w:val="none"/>
          <w:lang w:val="en-US" w:eastAsia="zh-CN"/>
        </w:rPr>
        <w:t>协议的</w:t>
      </w:r>
      <w:r>
        <w:rPr>
          <w:rFonts w:hint="eastAsia" w:ascii="仿宋_GB2312" w:eastAsia="仿宋_GB2312"/>
          <w:bCs/>
          <w:color w:val="auto"/>
          <w:sz w:val="32"/>
          <w:szCs w:val="32"/>
          <w:highlight w:val="none"/>
        </w:rPr>
        <w:t>1</w:t>
      </w:r>
      <w:r>
        <w:rPr>
          <w:rFonts w:hint="eastAsia" w:ascii="仿宋_GB2312" w:eastAsia="仿宋_GB2312"/>
          <w:bCs/>
          <w:color w:val="auto"/>
          <w:sz w:val="32"/>
          <w:szCs w:val="32"/>
          <w:highlight w:val="none"/>
          <w:lang w:val="en-US" w:eastAsia="zh-CN"/>
        </w:rPr>
        <w:t>0</w:t>
      </w:r>
      <w:r>
        <w:rPr>
          <w:rFonts w:hint="eastAsia" w:ascii="仿宋_GB2312" w:eastAsia="仿宋_GB2312"/>
          <w:bCs/>
          <w:color w:val="auto"/>
          <w:sz w:val="32"/>
          <w:szCs w:val="32"/>
          <w:highlight w:val="none"/>
        </w:rPr>
        <w:t>天内，乙方须交给甲方履约风险保证金（按</w:t>
      </w:r>
      <w:r>
        <w:rPr>
          <w:rFonts w:hint="eastAsia" w:ascii="仿宋_GB2312" w:eastAsia="仿宋_GB2312"/>
          <w:bCs/>
          <w:color w:val="auto"/>
          <w:sz w:val="32"/>
          <w:szCs w:val="32"/>
          <w:highlight w:val="none"/>
          <w:lang w:val="en-US" w:eastAsia="zh-CN"/>
        </w:rPr>
        <w:t>中标</w:t>
      </w:r>
      <w:r>
        <w:rPr>
          <w:rFonts w:hint="eastAsia" w:ascii="仿宋_GB2312" w:eastAsia="仿宋_GB2312"/>
          <w:bCs/>
          <w:color w:val="auto"/>
          <w:sz w:val="32"/>
          <w:szCs w:val="32"/>
          <w:highlight w:val="none"/>
        </w:rPr>
        <w:t>采购总价的</w:t>
      </w:r>
      <w:r>
        <w:rPr>
          <w:rFonts w:hint="eastAsia" w:ascii="仿宋_GB2312" w:eastAsia="仿宋_GB2312"/>
          <w:bCs/>
          <w:color w:val="auto"/>
          <w:sz w:val="32"/>
          <w:szCs w:val="32"/>
          <w:highlight w:val="none"/>
          <w:lang w:val="en-US" w:eastAsia="zh-CN"/>
        </w:rPr>
        <w:t>10</w:t>
      </w:r>
      <w:r>
        <w:rPr>
          <w:rFonts w:hint="eastAsia" w:ascii="仿宋_GB2312" w:eastAsia="仿宋_GB2312"/>
          <w:bCs/>
          <w:color w:val="auto"/>
          <w:sz w:val="32"/>
          <w:szCs w:val="32"/>
          <w:highlight w:val="none"/>
        </w:rPr>
        <w:t>%计算缴交，风险保证金不计息）。</w:t>
      </w:r>
      <w:r>
        <w:rPr>
          <w:rFonts w:hint="eastAsia" w:ascii="仿宋_GB2312" w:eastAsia="仿宋_GB2312"/>
          <w:bCs/>
          <w:color w:val="auto"/>
          <w:sz w:val="32"/>
          <w:szCs w:val="32"/>
          <w:highlight w:val="none"/>
          <w:lang w:val="en-US" w:eastAsia="zh-CN"/>
        </w:rPr>
        <w:t>协议</w:t>
      </w:r>
      <w:r>
        <w:rPr>
          <w:rFonts w:hint="eastAsia" w:ascii="仿宋_GB2312" w:eastAsia="仿宋_GB2312"/>
          <w:bCs/>
          <w:color w:val="auto"/>
          <w:sz w:val="32"/>
          <w:szCs w:val="32"/>
          <w:highlight w:val="none"/>
        </w:rPr>
        <w:t>期满后，如双方不再续约，且乙方没有违约，甲方应如数将风险保证金退还给乙方。</w:t>
      </w:r>
      <w:bookmarkStart w:id="0" w:name="_GoBack"/>
      <w:bookmarkEnd w:id="0"/>
    </w:p>
    <w:p w14:paraId="5F84DD02">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4.乙方在储备油进出库时，叉车驾驶人员必须持有叉车驾驶证，工作人员应注意人身安全和物资安全。在生产过程中如发生安全事故，均由乙方负责，由此造成甲方损失的，甲方有权向乙方追偿并由乙方承担相关追偿费用，包括但不限于仲裁费、诉讼费、保全费、律师费等。</w:t>
      </w:r>
    </w:p>
    <w:p w14:paraId="5C07849B">
      <w:pPr>
        <w:spacing w:line="560" w:lineRule="exact"/>
        <w:ind w:firstLine="643" w:firstLineChars="200"/>
        <w:rPr>
          <w:rFonts w:ascii="仿宋_GB2312" w:eastAsia="仿宋_GB2312"/>
          <w:b/>
          <w:sz w:val="32"/>
          <w:szCs w:val="32"/>
          <w:highlight w:val="none"/>
        </w:rPr>
      </w:pPr>
      <w:r>
        <w:rPr>
          <w:rFonts w:hint="eastAsia" w:ascii="仿宋_GB2312" w:eastAsia="仿宋_GB2312"/>
          <w:b/>
          <w:sz w:val="32"/>
          <w:szCs w:val="32"/>
          <w:highlight w:val="none"/>
        </w:rPr>
        <w:t>七、协议期限、变更、中止及结算方式</w:t>
      </w:r>
    </w:p>
    <w:p w14:paraId="3F0F6420">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本协议期限三年，从2024年  月  日开始至2027 年 月 日止。期满后的处理方式为:</w:t>
      </w:r>
    </w:p>
    <w:p w14:paraId="266CA894">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1.本协议包干轮换期内，若因政府指令等因素，数量需要重新调整的：若增加储备量，在乙方具有相应能力并且费用低于或等于其他新企业的前提下可优先委托乙方包干轮换；若减少储备量，乙方应以谅解并同意，不视为甲方违约。</w:t>
      </w:r>
    </w:p>
    <w:p w14:paraId="7A641173">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如甲方因政策或其它原因不再继续合作，应在协议期满前一个月书面通知乙方提出终止协议，乙方应在协议期满前5个工作日内无条件全额退回甲方购油款人民币</w:t>
      </w:r>
      <w:r>
        <w:rPr>
          <w:rFonts w:hint="eastAsia" w:ascii="仿宋_GB2312" w:eastAsia="仿宋_GB2312"/>
          <w:sz w:val="32"/>
          <w:szCs w:val="32"/>
          <w:highlight w:val="none"/>
          <w:lang w:val="en-US" w:eastAsia="zh-CN"/>
        </w:rPr>
        <w:t>XXX</w:t>
      </w:r>
      <w:r>
        <w:rPr>
          <w:rFonts w:hint="eastAsia" w:ascii="仿宋_GB2312" w:eastAsia="仿宋_GB2312"/>
          <w:bCs/>
          <w:sz w:val="32"/>
          <w:szCs w:val="32"/>
          <w:highlight w:val="none"/>
        </w:rPr>
        <w:t>元，甲方将库存的储备油全部交回乙方处理，甲方不承担任何费用。</w:t>
      </w:r>
    </w:p>
    <w:p w14:paraId="309C3DDC">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2.乙方在本协议约定期内转营或关闭，或因其他原因不在具备相应能力的，应提前一个月书面通知甲方，同时应在提出终止协议后5个工作日内乙方退回甲方购油款人民币</w:t>
      </w:r>
      <w:r>
        <w:rPr>
          <w:rFonts w:hint="eastAsia" w:ascii="仿宋_GB2312" w:eastAsia="仿宋_GB2312"/>
          <w:sz w:val="32"/>
          <w:szCs w:val="32"/>
          <w:highlight w:val="none"/>
          <w:lang w:val="en-US" w:eastAsia="zh-CN"/>
        </w:rPr>
        <w:t>XXX</w:t>
      </w:r>
      <w:r>
        <w:rPr>
          <w:rFonts w:hint="eastAsia" w:ascii="仿宋_GB2312" w:eastAsia="仿宋_GB2312"/>
          <w:bCs/>
          <w:sz w:val="32"/>
          <w:szCs w:val="32"/>
          <w:highlight w:val="none"/>
        </w:rPr>
        <w:t>元，甲方将库存的储备油全部交回乙方处理，甲方不承担任何费用，甲方视具体情况可追回乙方一年的费用补贴。</w:t>
      </w:r>
    </w:p>
    <w:p w14:paraId="2482298C">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3.本协议期满后，则协议终止。乙方应在5个工作日内无条件退回购油款人民币</w:t>
      </w:r>
      <w:r>
        <w:rPr>
          <w:rFonts w:hint="eastAsia" w:ascii="仿宋_GB2312" w:eastAsia="仿宋_GB2312"/>
          <w:sz w:val="32"/>
          <w:szCs w:val="32"/>
          <w:highlight w:val="none"/>
          <w:lang w:val="en-US" w:eastAsia="zh-CN"/>
        </w:rPr>
        <w:t>XXX</w:t>
      </w:r>
      <w:r>
        <w:rPr>
          <w:rFonts w:hint="eastAsia" w:ascii="仿宋_GB2312" w:eastAsia="仿宋_GB2312"/>
          <w:bCs/>
          <w:sz w:val="32"/>
          <w:szCs w:val="32"/>
          <w:highlight w:val="none"/>
        </w:rPr>
        <w:t>元给甲方，甲方将库存的储备油全部交回乙方处理，甲方不承担任何费用。</w:t>
      </w:r>
    </w:p>
    <w:p w14:paraId="7823E97E">
      <w:pPr>
        <w:spacing w:line="560" w:lineRule="exact"/>
        <w:ind w:firstLine="643" w:firstLineChars="200"/>
        <w:rPr>
          <w:rFonts w:ascii="仿宋_GB2312" w:eastAsia="仿宋_GB2312"/>
          <w:b/>
          <w:sz w:val="32"/>
          <w:szCs w:val="32"/>
          <w:highlight w:val="none"/>
        </w:rPr>
      </w:pPr>
      <w:r>
        <w:rPr>
          <w:rFonts w:hint="eastAsia" w:ascii="仿宋_GB2312" w:eastAsia="仿宋_GB2312"/>
          <w:b/>
          <w:sz w:val="32"/>
          <w:szCs w:val="32"/>
          <w:highlight w:val="none"/>
        </w:rPr>
        <w:t>八、违约责任</w:t>
      </w:r>
    </w:p>
    <w:p w14:paraId="11B5AECA">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1.如果甲方不能按时支付购油款或轮换费，则按《合同法》相关规定，付给乙方滞纳金。</w:t>
      </w:r>
    </w:p>
    <w:p w14:paraId="033D95D6">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2.如果乙方没有对每瓶油每年最少轮换2次以上(含2次)，并且确保每瓶油都在保质期内，则视作未进行轮换和未履行协议则扣除当年的轮换费用；如果造成库存储备油品质劣变，不符合质量、卫生标准，则全部成本和费用损失均由乙方承担。</w:t>
      </w:r>
    </w:p>
    <w:p w14:paraId="05AFF59F">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3.乙方有下列任何情形之一，无条件终止合同，并追偿损失：</w:t>
      </w:r>
    </w:p>
    <w:p w14:paraId="55C2CB85">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①购进的食用植物油不符合国家标准规定的；</w:t>
      </w:r>
    </w:p>
    <w:p w14:paraId="3B93B899">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②油库里发现有超过保质期的食用植物油;</w:t>
      </w:r>
    </w:p>
    <w:p w14:paraId="3CB00A0C">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③库存食用植物油每年未轮换2次以上(含2次);</w:t>
      </w:r>
    </w:p>
    <w:p w14:paraId="08123780">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4. 若乙方的违约行为情节严重，造成恶劣社会影响和严重损失的，将移交司法机关追究刑事责任。</w:t>
      </w:r>
    </w:p>
    <w:p w14:paraId="6513AAA3">
      <w:pPr>
        <w:spacing w:line="560" w:lineRule="exact"/>
        <w:ind w:firstLine="643" w:firstLineChars="200"/>
        <w:rPr>
          <w:rFonts w:ascii="仿宋_GB2312" w:eastAsia="仿宋_GB2312"/>
          <w:b/>
          <w:sz w:val="32"/>
          <w:szCs w:val="32"/>
          <w:highlight w:val="none"/>
        </w:rPr>
      </w:pPr>
      <w:r>
        <w:rPr>
          <w:rFonts w:hint="eastAsia" w:ascii="仿宋_GB2312" w:eastAsia="仿宋_GB2312"/>
          <w:b/>
          <w:sz w:val="32"/>
          <w:szCs w:val="32"/>
          <w:highlight w:val="none"/>
        </w:rPr>
        <w:t>九、其他</w:t>
      </w:r>
    </w:p>
    <w:p w14:paraId="325EABD4">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1.如遇食用植物油升级换代，则在轮换过程中自然换代。</w:t>
      </w:r>
    </w:p>
    <w:p w14:paraId="3684D7B9">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2.如遇上级储备油政策调整变化,按新的政策办理。</w:t>
      </w:r>
    </w:p>
    <w:p w14:paraId="08F21B4C">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3.如本协议发生争议，双方协商解决；协商不成的按《合同法》或向法院诉讼处理。</w:t>
      </w:r>
    </w:p>
    <w:p w14:paraId="5922D76A">
      <w:pPr>
        <w:spacing w:line="56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4. 本协议自双方签订之日起生效，有效期至协议届满之日，本合同一式五份。双方各执一份，县发展和改革局、农发行、梅州市嘉应粮食交易中心各执一份，具同等效力。</w:t>
      </w:r>
    </w:p>
    <w:p w14:paraId="22A21F03">
      <w:pPr>
        <w:spacing w:line="540" w:lineRule="exact"/>
        <w:ind w:firstLine="643" w:firstLineChars="200"/>
        <w:rPr>
          <w:rFonts w:ascii="仿宋_GB2312" w:eastAsia="仿宋_GB2312"/>
          <w:bCs/>
          <w:sz w:val="32"/>
          <w:szCs w:val="32"/>
          <w:highlight w:val="none"/>
        </w:rPr>
      </w:pPr>
      <w:r>
        <w:rPr>
          <w:rFonts w:hint="eastAsia" w:ascii="仿宋_GB2312" w:eastAsia="仿宋_GB2312"/>
          <w:b/>
          <w:sz w:val="32"/>
          <w:szCs w:val="32"/>
          <w:highlight w:val="none"/>
        </w:rPr>
        <w:t>十、其他约定事项</w:t>
      </w:r>
    </w:p>
    <w:p w14:paraId="2A197216">
      <w:pPr>
        <w:spacing w:line="54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1.</w:t>
      </w:r>
    </w:p>
    <w:p w14:paraId="40D07A60">
      <w:pPr>
        <w:spacing w:line="54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2.</w:t>
      </w:r>
    </w:p>
    <w:p w14:paraId="3D4A03D9">
      <w:pPr>
        <w:spacing w:line="540" w:lineRule="exact"/>
        <w:ind w:firstLine="640" w:firstLineChars="200"/>
        <w:rPr>
          <w:rFonts w:ascii="仿宋_GB2312" w:eastAsia="仿宋_GB2312"/>
          <w:bCs/>
          <w:sz w:val="32"/>
          <w:szCs w:val="32"/>
          <w:highlight w:val="none"/>
        </w:rPr>
      </w:pPr>
      <w:r>
        <w:rPr>
          <w:rFonts w:hint="eastAsia" w:ascii="仿宋_GB2312" w:eastAsia="仿宋_GB2312"/>
          <w:bCs/>
          <w:sz w:val="32"/>
          <w:szCs w:val="32"/>
          <w:highlight w:val="none"/>
        </w:rPr>
        <w:t>3.</w:t>
      </w:r>
    </w:p>
    <w:p w14:paraId="3A009D6A">
      <w:pPr>
        <w:spacing w:line="460" w:lineRule="exact"/>
        <w:ind w:firstLine="660"/>
        <w:rPr>
          <w:rFonts w:ascii="仿宋" w:hAnsi="仿宋" w:eastAsia="仿宋" w:cs="仿宋"/>
          <w:sz w:val="32"/>
          <w:szCs w:val="32"/>
          <w:highlight w:val="none"/>
        </w:rPr>
      </w:pPr>
    </w:p>
    <w:p w14:paraId="2909ADF6">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甲方</w:t>
      </w:r>
      <w:r>
        <w:rPr>
          <w:rFonts w:ascii="仿宋" w:hAnsi="仿宋" w:eastAsia="仿宋" w:cs="仿宋"/>
          <w:sz w:val="32"/>
          <w:szCs w:val="32"/>
          <w:highlight w:val="none"/>
        </w:rPr>
        <w:t xml:space="preserve">:                      </w:t>
      </w:r>
      <w:r>
        <w:rPr>
          <w:rFonts w:hint="eastAsia" w:ascii="仿宋" w:hAnsi="仿宋" w:eastAsia="仿宋" w:cs="仿宋"/>
          <w:sz w:val="32"/>
          <w:szCs w:val="32"/>
          <w:highlight w:val="none"/>
        </w:rPr>
        <w:t xml:space="preserve">  </w:t>
      </w:r>
      <w:r>
        <w:rPr>
          <w:rFonts w:ascii="仿宋" w:hAnsi="仿宋" w:eastAsia="仿宋" w:cs="仿宋"/>
          <w:sz w:val="32"/>
          <w:szCs w:val="32"/>
          <w:highlight w:val="none"/>
        </w:rPr>
        <w:t xml:space="preserve"> </w:t>
      </w:r>
      <w:r>
        <w:rPr>
          <w:rFonts w:hint="eastAsia" w:ascii="仿宋" w:hAnsi="仿宋" w:eastAsia="仿宋" w:cs="仿宋"/>
          <w:sz w:val="32"/>
          <w:szCs w:val="32"/>
          <w:highlight w:val="none"/>
        </w:rPr>
        <w:t>乙方</w:t>
      </w:r>
      <w:r>
        <w:rPr>
          <w:rFonts w:ascii="仿宋" w:hAnsi="仿宋" w:eastAsia="仿宋" w:cs="仿宋"/>
          <w:sz w:val="32"/>
          <w:szCs w:val="32"/>
          <w:highlight w:val="none"/>
        </w:rPr>
        <w:t>:</w:t>
      </w:r>
    </w:p>
    <w:p w14:paraId="091BC299">
      <w:pPr>
        <w:spacing w:line="560" w:lineRule="exact"/>
        <w:ind w:firstLine="640" w:firstLineChars="200"/>
        <w:rPr>
          <w:rFonts w:ascii="仿宋" w:hAnsi="仿宋" w:eastAsia="仿宋"/>
          <w:sz w:val="32"/>
          <w:szCs w:val="32"/>
          <w:highlight w:val="none"/>
        </w:rPr>
      </w:pPr>
      <w:r>
        <w:rPr>
          <w:rFonts w:hint="eastAsia" w:ascii="仿宋" w:hAnsi="仿宋" w:eastAsia="仿宋" w:cs="仿宋"/>
          <w:sz w:val="32"/>
          <w:szCs w:val="32"/>
          <w:highlight w:val="none"/>
        </w:rPr>
        <w:t>法定代表人：</w:t>
      </w:r>
      <w:r>
        <w:rPr>
          <w:rFonts w:ascii="仿宋" w:hAnsi="仿宋" w:eastAsia="仿宋" w:cs="仿宋"/>
          <w:sz w:val="32"/>
          <w:szCs w:val="32"/>
          <w:highlight w:val="none"/>
        </w:rPr>
        <w:t xml:space="preserve">                  </w:t>
      </w:r>
      <w:r>
        <w:rPr>
          <w:rFonts w:hint="eastAsia" w:ascii="仿宋" w:hAnsi="仿宋" w:eastAsia="仿宋" w:cs="仿宋"/>
          <w:sz w:val="32"/>
          <w:szCs w:val="32"/>
          <w:highlight w:val="none"/>
        </w:rPr>
        <w:t>法定代表人：</w:t>
      </w:r>
    </w:p>
    <w:p w14:paraId="56547469">
      <w:pPr>
        <w:tabs>
          <w:tab w:val="center" w:pos="4153"/>
        </w:tabs>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联系电话：</w:t>
      </w:r>
      <w:r>
        <w:rPr>
          <w:rFonts w:ascii="仿宋" w:hAnsi="仿宋" w:eastAsia="仿宋" w:cs="仿宋"/>
          <w:sz w:val="32"/>
          <w:szCs w:val="32"/>
          <w:highlight w:val="none"/>
        </w:rPr>
        <w:t xml:space="preserve">                  </w:t>
      </w:r>
      <w:r>
        <w:rPr>
          <w:rFonts w:hint="eastAsia" w:ascii="仿宋" w:hAnsi="仿宋" w:eastAsia="仿宋" w:cs="仿宋"/>
          <w:sz w:val="32"/>
          <w:szCs w:val="32"/>
          <w:highlight w:val="none"/>
        </w:rPr>
        <w:t xml:space="preserve">  联系电话：</w:t>
      </w:r>
    </w:p>
    <w:p w14:paraId="523B1AEC">
      <w:pPr>
        <w:spacing w:line="560" w:lineRule="exact"/>
        <w:ind w:firstLine="560" w:firstLineChars="200"/>
        <w:rPr>
          <w:rFonts w:ascii="仿宋" w:hAnsi="仿宋" w:eastAsia="仿宋"/>
          <w:sz w:val="28"/>
          <w:szCs w:val="28"/>
          <w:highlight w:val="none"/>
        </w:rPr>
      </w:pPr>
    </w:p>
    <w:p w14:paraId="6E01BE1B">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确认单位：梅州市嘉应粮食交易中心有限公司</w:t>
      </w:r>
    </w:p>
    <w:p w14:paraId="37977BC0">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 xml:space="preserve">电话（传真）：0753-2128232    0753-2128231  </w:t>
      </w:r>
    </w:p>
    <w:p w14:paraId="0BFFE5F1">
      <w:pPr>
        <w:spacing w:line="560" w:lineRule="exact"/>
        <w:rPr>
          <w:rFonts w:ascii="仿宋" w:hAnsi="仿宋" w:eastAsia="仿宋"/>
          <w:sz w:val="28"/>
          <w:szCs w:val="28"/>
          <w:highlight w:val="none"/>
        </w:rPr>
      </w:pPr>
    </w:p>
    <w:p w14:paraId="591544C9">
      <w:pPr>
        <w:tabs>
          <w:tab w:val="center" w:pos="4153"/>
        </w:tabs>
        <w:spacing w:line="460" w:lineRule="exact"/>
        <w:ind w:firstLine="5760" w:firstLineChars="1800"/>
        <w:rPr>
          <w:rFonts w:ascii="仿宋" w:hAnsi="仿宋" w:eastAsia="仿宋" w:cs="仿宋"/>
          <w:sz w:val="32"/>
          <w:szCs w:val="32"/>
          <w:highlight w:val="none"/>
        </w:rPr>
      </w:pPr>
    </w:p>
    <w:p w14:paraId="4324218B">
      <w:pPr>
        <w:tabs>
          <w:tab w:val="center" w:pos="4153"/>
        </w:tabs>
        <w:spacing w:line="460" w:lineRule="exact"/>
        <w:ind w:firstLine="5760" w:firstLineChars="1800"/>
        <w:rPr>
          <w:rFonts w:ascii="仿宋" w:hAnsi="仿宋" w:eastAsia="仿宋"/>
          <w:sz w:val="32"/>
          <w:szCs w:val="32"/>
          <w:highlight w:val="none"/>
        </w:rPr>
      </w:pPr>
      <w:r>
        <w:rPr>
          <w:rFonts w:ascii="仿宋" w:hAnsi="仿宋" w:eastAsia="仿宋" w:cs="仿宋"/>
          <w:sz w:val="32"/>
          <w:szCs w:val="32"/>
          <w:highlight w:val="none"/>
        </w:rPr>
        <w:t>202</w:t>
      </w:r>
      <w:r>
        <w:rPr>
          <w:rFonts w:hint="eastAsia" w:ascii="仿宋" w:hAnsi="仿宋" w:eastAsia="仿宋" w:cs="仿宋"/>
          <w:sz w:val="32"/>
          <w:szCs w:val="32"/>
          <w:highlight w:val="none"/>
        </w:rPr>
        <w:t>4年  月  日</w:t>
      </w:r>
    </w:p>
    <w:p w14:paraId="015FEA14">
      <w:pPr>
        <w:spacing w:line="540" w:lineRule="exact"/>
        <w:rPr>
          <w:rFonts w:ascii="仿宋_GB2312" w:eastAsia="仿宋_GB2312"/>
          <w:sz w:val="32"/>
          <w:szCs w:val="32"/>
          <w:highlight w:val="none"/>
        </w:rPr>
      </w:pPr>
    </w:p>
    <w:p w14:paraId="7B616716">
      <w:pPr>
        <w:jc w:val="right"/>
        <w:rPr>
          <w:rFonts w:ascii="宋体" w:hAnsi="宋体" w:eastAsia="宋体" w:cs="Times New Roman"/>
          <w:sz w:val="24"/>
          <w:szCs w:val="24"/>
          <w:highlight w:val="none"/>
        </w:rPr>
      </w:pPr>
    </w:p>
    <w:p w14:paraId="33E42638">
      <w:pPr>
        <w:ind w:right="960"/>
        <w:jc w:val="left"/>
        <w:rPr>
          <w:rFonts w:hint="eastAsia" w:ascii="宋体" w:hAnsi="宋体" w:eastAsia="宋体" w:cs="Times New Roman"/>
          <w:sz w:val="24"/>
          <w:szCs w:val="24"/>
        </w:rPr>
      </w:pPr>
    </w:p>
    <w:sectPr>
      <w:footerReference r:id="rId4" w:type="default"/>
      <w:pgSz w:w="11906" w:h="16838"/>
      <w:pgMar w:top="1304" w:right="1417" w:bottom="113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1917360"/>
      <w:docPartObj>
        <w:docPartGallery w:val="autotext"/>
      </w:docPartObj>
    </w:sdtPr>
    <w:sdtContent>
      <w:p w14:paraId="52839737">
        <w:pPr>
          <w:pStyle w:val="2"/>
          <w:jc w:val="center"/>
        </w:pPr>
        <w:r>
          <w:fldChar w:fldCharType="begin"/>
        </w:r>
        <w:r>
          <w:instrText xml:space="preserve">PAGE   \* MERGEFORMAT</w:instrText>
        </w:r>
        <w:r>
          <w:fldChar w:fldCharType="separate"/>
        </w:r>
        <w:r>
          <w:rPr>
            <w:lang w:val="zh-CN"/>
          </w:rPr>
          <w:t>1</w:t>
        </w:r>
        <w:r>
          <w:fldChar w:fldCharType="end"/>
        </w:r>
      </w:p>
    </w:sdtContent>
  </w:sdt>
  <w:p w14:paraId="2F976092">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C76F27">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E7E00A2">
                          <w:pPr>
                            <w:pStyle w:val="2"/>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7E7E00A2">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D85AFC"/>
    <w:rsid w:val="006545F3"/>
    <w:rsid w:val="00866E07"/>
    <w:rsid w:val="009D1C58"/>
    <w:rsid w:val="00C94072"/>
    <w:rsid w:val="00D85AFC"/>
    <w:rsid w:val="00DC6B3C"/>
    <w:rsid w:val="00DE2E79"/>
    <w:rsid w:val="26EB7C5E"/>
    <w:rsid w:val="2CB83278"/>
    <w:rsid w:val="2D9E4CDE"/>
    <w:rsid w:val="385872D8"/>
    <w:rsid w:val="67610D1C"/>
    <w:rsid w:val="772762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3371</Words>
  <Characters>3553</Characters>
  <Lines>9</Lines>
  <Paragraphs>2</Paragraphs>
  <TotalTime>6</TotalTime>
  <ScaleCrop>false</ScaleCrop>
  <LinksUpToDate>false</LinksUpToDate>
  <CharactersWithSpaces>3865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2024-10-25T02:37:00Z</dcterms:created>
  <dc:creator>Windows 用户</dc:creator>
  <cp:lastModifiedBy>汇兴</cp:lastModifiedBy>
  <cp:lastPrinted>2024-10-28T06:59:00Z</cp:lastPrinted>
  <dcterms:modified xsi:type="dcterms:W3CDTF">2024-10-31T09:54:57Z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08F82AF7F3A54D22B22ED5526740816A_12</vt:lpwstr>
  </property>
</Properties>
</file>