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C105E">
      <w:pPr>
        <w:autoSpaceDE w:val="0"/>
        <w:autoSpaceDN w:val="0"/>
        <w:adjustRightInd w:val="0"/>
        <w:jc w:val="center"/>
        <w:rPr>
          <w:rFonts w:hint="eastAsia" w:ascii="宋体" w:hAnsi="宋体"/>
          <w:b/>
          <w:kern w:val="0"/>
          <w:sz w:val="44"/>
          <w:szCs w:val="44"/>
          <w:highlight w:val="none"/>
        </w:rPr>
      </w:pPr>
      <w:r>
        <w:rPr>
          <w:rFonts w:hint="eastAsia" w:ascii="宋体" w:hAnsi="宋体"/>
          <w:b/>
          <w:kern w:val="0"/>
          <w:sz w:val="44"/>
          <w:szCs w:val="44"/>
          <w:highlight w:val="none"/>
        </w:rPr>
        <w:t>梅州市嘉应粮食交易中心有限公司</w:t>
      </w:r>
    </w:p>
    <w:p w14:paraId="3588A0E2">
      <w:pPr>
        <w:autoSpaceDE w:val="0"/>
        <w:autoSpaceDN w:val="0"/>
        <w:adjustRightInd w:val="0"/>
        <w:jc w:val="center"/>
        <w:rPr>
          <w:rFonts w:hint="eastAsia" w:ascii="宋体" w:hAnsi="宋体"/>
          <w:b/>
          <w:kern w:val="0"/>
          <w:sz w:val="44"/>
          <w:szCs w:val="44"/>
          <w:highlight w:val="none"/>
        </w:rPr>
      </w:pPr>
      <w:r>
        <w:rPr>
          <w:rFonts w:hint="eastAsia" w:ascii="宋体" w:hAnsi="宋体"/>
          <w:b/>
          <w:kern w:val="0"/>
          <w:sz w:val="44"/>
          <w:szCs w:val="44"/>
          <w:highlight w:val="none"/>
        </w:rPr>
        <w:t xml:space="preserve"> 粮食竞价采购交易合同</w:t>
      </w:r>
    </w:p>
    <w:p w14:paraId="5B7E642B">
      <w:pPr>
        <w:autoSpaceDE w:val="0"/>
        <w:autoSpaceDN w:val="0"/>
        <w:adjustRightInd w:val="0"/>
        <w:rPr>
          <w:rFonts w:hint="eastAsia" w:ascii="宋体" w:hAnsi="宋体"/>
          <w:kern w:val="0"/>
          <w:sz w:val="28"/>
          <w:highlight w:val="none"/>
        </w:rPr>
      </w:pPr>
      <w:r>
        <w:rPr>
          <w:rFonts w:hint="eastAsia" w:ascii="宋体" w:hAnsi="宋体"/>
          <w:kern w:val="0"/>
          <w:sz w:val="28"/>
          <w:highlight w:val="none"/>
        </w:rPr>
        <w:t>合同编号：</w:t>
      </w:r>
    </w:p>
    <w:p w14:paraId="57538953">
      <w:pPr>
        <w:autoSpaceDE w:val="0"/>
        <w:autoSpaceDN w:val="0"/>
        <w:adjustRightInd w:val="0"/>
        <w:rPr>
          <w:rFonts w:hint="eastAsia" w:ascii="宋体" w:hAnsi="宋体"/>
          <w:kern w:val="0"/>
          <w:sz w:val="28"/>
          <w:highlight w:val="none"/>
        </w:rPr>
      </w:pPr>
      <w:r>
        <w:rPr>
          <w:rFonts w:hint="eastAsia" w:ascii="宋体" w:hAnsi="宋体"/>
          <w:kern w:val="0"/>
          <w:sz w:val="28"/>
          <w:highlight w:val="none"/>
        </w:rPr>
        <w:t>买方全称：梅州市嘉泰粮食和物资储备有限公司</w:t>
      </w:r>
    </w:p>
    <w:p w14:paraId="3815F3AA">
      <w:pPr>
        <w:autoSpaceDE w:val="0"/>
        <w:autoSpaceDN w:val="0"/>
        <w:adjustRightInd w:val="0"/>
        <w:rPr>
          <w:rFonts w:hint="eastAsia" w:ascii="宋体" w:hAnsi="宋体"/>
          <w:kern w:val="0"/>
          <w:sz w:val="28"/>
          <w:highlight w:val="none"/>
        </w:rPr>
      </w:pPr>
      <w:r>
        <w:rPr>
          <w:rFonts w:hint="eastAsia" w:ascii="宋体" w:hAnsi="宋体"/>
          <w:kern w:val="0"/>
          <w:sz w:val="28"/>
          <w:highlight w:val="none"/>
        </w:rPr>
        <w:t>卖方全称：</w:t>
      </w:r>
      <w:r>
        <w:rPr>
          <w:rFonts w:ascii="宋体" w:hAnsi="宋体"/>
          <w:kern w:val="0"/>
          <w:sz w:val="28"/>
          <w:highlight w:val="none"/>
        </w:rPr>
        <w:t xml:space="preserve"> </w:t>
      </w:r>
    </w:p>
    <w:p w14:paraId="32419C4C">
      <w:pPr>
        <w:keepNext w:val="0"/>
        <w:keepLines w:val="0"/>
        <w:pageBreakBefore w:val="0"/>
        <w:widowControl w:val="0"/>
        <w:kinsoku/>
        <w:wordWrap/>
        <w:overflowPunct/>
        <w:topLinePunct w:val="0"/>
        <w:autoSpaceDE w:val="0"/>
        <w:autoSpaceDN w:val="0"/>
        <w:bidi w:val="0"/>
        <w:adjustRightInd w:val="0"/>
        <w:snapToGrid/>
        <w:ind w:firstLine="480" w:firstLineChars="200"/>
        <w:textAlignment w:val="auto"/>
        <w:rPr>
          <w:rFonts w:hint="eastAsia" w:ascii="宋体" w:hAnsi="宋体"/>
          <w:kern w:val="0"/>
          <w:sz w:val="24"/>
          <w:highlight w:val="none"/>
        </w:rPr>
      </w:pPr>
      <w:r>
        <w:rPr>
          <w:rFonts w:hint="eastAsia" w:ascii="宋体" w:hAnsi="宋体"/>
          <w:kern w:val="0"/>
          <w:sz w:val="24"/>
          <w:highlight w:val="none"/>
        </w:rPr>
        <w:t xml:space="preserve"> 一</w:t>
      </w:r>
      <w:r>
        <w:rPr>
          <w:rFonts w:hint="eastAsia" w:ascii="宋体" w:hAnsi="宋体"/>
          <w:b/>
          <w:bCs/>
          <w:kern w:val="0"/>
          <w:sz w:val="24"/>
          <w:highlight w:val="none"/>
        </w:rPr>
        <w:t>、成交标的</w:t>
      </w:r>
      <w:r>
        <w:rPr>
          <w:rFonts w:hint="eastAsia" w:ascii="宋体" w:hAnsi="宋体"/>
          <w:kern w:val="0"/>
          <w:sz w:val="24"/>
          <w:highlight w:val="none"/>
        </w:rPr>
        <w:t xml:space="preserve">（见下表）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14:paraId="07EB8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05E7F49">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标的号</w:t>
            </w:r>
          </w:p>
        </w:tc>
        <w:tc>
          <w:tcPr>
            <w:tcW w:w="2200" w:type="dxa"/>
            <w:tcBorders>
              <w:top w:val="single" w:color="auto" w:sz="4" w:space="0"/>
              <w:left w:val="single" w:color="auto" w:sz="4" w:space="0"/>
              <w:bottom w:val="single" w:color="auto" w:sz="4" w:space="0"/>
              <w:right w:val="single" w:color="auto" w:sz="4" w:space="0"/>
            </w:tcBorders>
            <w:vAlign w:val="center"/>
          </w:tcPr>
          <w:p w14:paraId="094D4540">
            <w:pPr>
              <w:pStyle w:val="3"/>
              <w:spacing w:line="240" w:lineRule="auto"/>
              <w:ind w:firstLine="0" w:firstLineChars="0"/>
              <w:rPr>
                <w:rFonts w:hint="eastAsia" w:ascii="宋体" w:hAnsi="宋体" w:eastAsia="宋体"/>
                <w:kern w:val="2"/>
                <w:sz w:val="24"/>
                <w:highlight w:val="none"/>
              </w:rPr>
            </w:pPr>
            <w:r>
              <w:rPr>
                <w:rFonts w:hint="eastAsia" w:ascii="宋体" w:hAnsi="宋体" w:eastAsia="宋体"/>
                <w:kern w:val="2"/>
                <w:sz w:val="24"/>
                <w:highlight w:val="none"/>
              </w:rPr>
              <w:t>01</w:t>
            </w:r>
          </w:p>
        </w:tc>
        <w:tc>
          <w:tcPr>
            <w:tcW w:w="1276" w:type="dxa"/>
            <w:tcBorders>
              <w:top w:val="single" w:color="auto" w:sz="4" w:space="0"/>
              <w:left w:val="single" w:color="auto" w:sz="4" w:space="0"/>
              <w:bottom w:val="single" w:color="auto" w:sz="4" w:space="0"/>
              <w:right w:val="single" w:color="auto" w:sz="4" w:space="0"/>
            </w:tcBorders>
            <w:vAlign w:val="center"/>
          </w:tcPr>
          <w:p w14:paraId="6ECAE6E7">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18C2FF08">
            <w:pPr>
              <w:pStyle w:val="3"/>
              <w:spacing w:line="240" w:lineRule="auto"/>
              <w:ind w:firstLine="0" w:firstLineChars="0"/>
              <w:rPr>
                <w:rFonts w:hint="eastAsia" w:ascii="宋体" w:hAnsi="宋体" w:eastAsia="宋体"/>
                <w:kern w:val="2"/>
                <w:sz w:val="24"/>
                <w:highlight w:val="none"/>
              </w:rPr>
            </w:pPr>
            <w:r>
              <w:rPr>
                <w:rFonts w:hint="eastAsia" w:ascii="宋体" w:hAnsi="宋体" w:eastAsia="宋体"/>
                <w:kern w:val="2"/>
                <w:sz w:val="24"/>
                <w:highlight w:val="none"/>
              </w:rPr>
              <w:t>2025年</w:t>
            </w:r>
          </w:p>
        </w:tc>
      </w:tr>
      <w:tr w14:paraId="3A6E0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5A74F87">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品种</w:t>
            </w:r>
          </w:p>
        </w:tc>
        <w:tc>
          <w:tcPr>
            <w:tcW w:w="2200" w:type="dxa"/>
            <w:tcBorders>
              <w:top w:val="single" w:color="auto" w:sz="4" w:space="0"/>
              <w:left w:val="single" w:color="auto" w:sz="4" w:space="0"/>
              <w:bottom w:val="single" w:color="auto" w:sz="4" w:space="0"/>
              <w:right w:val="single" w:color="auto" w:sz="4" w:space="0"/>
            </w:tcBorders>
            <w:vAlign w:val="center"/>
          </w:tcPr>
          <w:p w14:paraId="0DCF71E8">
            <w:pPr>
              <w:pStyle w:val="3"/>
              <w:spacing w:line="240" w:lineRule="auto"/>
              <w:ind w:firstLine="0" w:firstLineChars="0"/>
              <w:rPr>
                <w:rFonts w:hint="eastAsia" w:ascii="宋体" w:hAnsi="宋体" w:eastAsia="宋体"/>
                <w:kern w:val="2"/>
                <w:sz w:val="24"/>
                <w:highlight w:val="none"/>
              </w:rPr>
            </w:pPr>
            <w:r>
              <w:rPr>
                <w:rFonts w:hint="eastAsia" w:ascii="宋体" w:hAnsi="宋体" w:eastAsia="宋体"/>
                <w:kern w:val="2"/>
                <w:sz w:val="24"/>
                <w:highlight w:val="none"/>
              </w:rPr>
              <w:t>XXXX</w:t>
            </w:r>
          </w:p>
        </w:tc>
        <w:tc>
          <w:tcPr>
            <w:tcW w:w="1276" w:type="dxa"/>
            <w:tcBorders>
              <w:top w:val="single" w:color="auto" w:sz="4" w:space="0"/>
              <w:left w:val="single" w:color="auto" w:sz="4" w:space="0"/>
              <w:bottom w:val="single" w:color="auto" w:sz="4" w:space="0"/>
              <w:right w:val="single" w:color="auto" w:sz="4" w:space="0"/>
            </w:tcBorders>
            <w:vAlign w:val="center"/>
          </w:tcPr>
          <w:p w14:paraId="24924597">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1CC85870">
            <w:pPr>
              <w:pStyle w:val="3"/>
              <w:spacing w:line="240" w:lineRule="auto"/>
              <w:ind w:firstLine="0" w:firstLineChars="0"/>
              <w:rPr>
                <w:rFonts w:hint="eastAsia" w:ascii="宋体" w:hAnsi="宋体" w:eastAsia="宋体"/>
                <w:kern w:val="2"/>
                <w:sz w:val="24"/>
                <w:highlight w:val="none"/>
              </w:rPr>
            </w:pPr>
            <w:r>
              <w:rPr>
                <w:rFonts w:hint="eastAsia" w:ascii="宋体" w:hAnsi="宋体" w:eastAsia="宋体"/>
                <w:kern w:val="2"/>
                <w:sz w:val="24"/>
                <w:highlight w:val="none"/>
              </w:rPr>
              <w:t>XXX吨</w:t>
            </w:r>
          </w:p>
        </w:tc>
      </w:tr>
      <w:tr w14:paraId="6D5F1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A96F993">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等级</w:t>
            </w:r>
          </w:p>
        </w:tc>
        <w:tc>
          <w:tcPr>
            <w:tcW w:w="2200" w:type="dxa"/>
            <w:tcBorders>
              <w:top w:val="single" w:color="auto" w:sz="4" w:space="0"/>
              <w:left w:val="single" w:color="auto" w:sz="4" w:space="0"/>
              <w:bottom w:val="single" w:color="auto" w:sz="4" w:space="0"/>
              <w:right w:val="single" w:color="auto" w:sz="4" w:space="0"/>
            </w:tcBorders>
            <w:vAlign w:val="center"/>
          </w:tcPr>
          <w:p w14:paraId="0836BA52">
            <w:pPr>
              <w:pStyle w:val="3"/>
              <w:spacing w:line="240" w:lineRule="auto"/>
              <w:ind w:firstLine="0" w:firstLineChars="0"/>
              <w:rPr>
                <w:rFonts w:hint="eastAsia" w:ascii="宋体" w:hAnsi="宋体" w:eastAsia="宋体"/>
                <w:kern w:val="2"/>
                <w:sz w:val="24"/>
                <w:highlight w:val="none"/>
              </w:rPr>
            </w:pPr>
            <w:r>
              <w:rPr>
                <w:rFonts w:hint="eastAsia" w:ascii="宋体" w:hAnsi="宋体" w:eastAsia="宋体"/>
                <w:kern w:val="2"/>
                <w:sz w:val="24"/>
                <w:highlight w:val="none"/>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182A8DC1">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70510105">
            <w:pPr>
              <w:pStyle w:val="3"/>
              <w:spacing w:line="240" w:lineRule="auto"/>
              <w:ind w:firstLine="0" w:firstLineChars="0"/>
              <w:rPr>
                <w:rFonts w:hint="eastAsia" w:ascii="宋体" w:hAnsi="宋体" w:eastAsia="宋体"/>
                <w:kern w:val="2"/>
                <w:sz w:val="24"/>
                <w:highlight w:val="none"/>
              </w:rPr>
            </w:pPr>
            <w:r>
              <w:rPr>
                <w:rFonts w:hint="eastAsia" w:ascii="宋体" w:hAnsi="宋体" w:eastAsia="宋体"/>
                <w:kern w:val="2"/>
                <w:sz w:val="24"/>
                <w:highlight w:val="none"/>
              </w:rPr>
              <w:t>XXX元/吨</w:t>
            </w:r>
          </w:p>
        </w:tc>
      </w:tr>
      <w:tr w14:paraId="481E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69D9AD8">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产地</w:t>
            </w:r>
          </w:p>
        </w:tc>
        <w:tc>
          <w:tcPr>
            <w:tcW w:w="2200" w:type="dxa"/>
            <w:tcBorders>
              <w:top w:val="single" w:color="auto" w:sz="4" w:space="0"/>
              <w:left w:val="single" w:color="auto" w:sz="4" w:space="0"/>
              <w:bottom w:val="single" w:color="auto" w:sz="4" w:space="0"/>
              <w:right w:val="single" w:color="auto" w:sz="4" w:space="0"/>
            </w:tcBorders>
            <w:vAlign w:val="center"/>
          </w:tcPr>
          <w:p w14:paraId="3CCC8C29">
            <w:pPr>
              <w:pStyle w:val="3"/>
              <w:spacing w:line="240" w:lineRule="auto"/>
              <w:ind w:firstLine="0" w:firstLineChars="0"/>
              <w:rPr>
                <w:rFonts w:hint="eastAsia" w:ascii="宋体" w:hAnsi="宋体" w:eastAsia="宋体"/>
                <w:kern w:val="2"/>
                <w:sz w:val="24"/>
                <w:highlight w:val="none"/>
              </w:rPr>
            </w:pPr>
            <w:r>
              <w:rPr>
                <w:rFonts w:hint="eastAsia" w:ascii="宋体" w:hAnsi="宋体" w:eastAsia="宋体"/>
                <w:kern w:val="2"/>
                <w:sz w:val="24"/>
                <w:highlight w:val="none"/>
              </w:rPr>
              <w:t>广东、江西、安徽、湖北</w:t>
            </w:r>
          </w:p>
        </w:tc>
        <w:tc>
          <w:tcPr>
            <w:tcW w:w="1276" w:type="dxa"/>
            <w:tcBorders>
              <w:top w:val="single" w:color="auto" w:sz="4" w:space="0"/>
              <w:left w:val="single" w:color="auto" w:sz="4" w:space="0"/>
              <w:bottom w:val="single" w:color="auto" w:sz="4" w:space="0"/>
              <w:right w:val="single" w:color="auto" w:sz="4" w:space="0"/>
            </w:tcBorders>
            <w:vAlign w:val="center"/>
          </w:tcPr>
          <w:p w14:paraId="72DE757A">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7D9243AC">
            <w:pPr>
              <w:pStyle w:val="3"/>
              <w:spacing w:line="240" w:lineRule="auto"/>
              <w:ind w:firstLine="0" w:firstLineChars="0"/>
              <w:rPr>
                <w:rFonts w:hint="eastAsia" w:ascii="宋体" w:hAnsi="宋体" w:eastAsia="宋体"/>
                <w:kern w:val="2"/>
                <w:sz w:val="24"/>
                <w:highlight w:val="none"/>
              </w:rPr>
            </w:pPr>
            <w:r>
              <w:rPr>
                <w:rFonts w:hint="eastAsia" w:ascii="宋体" w:hAnsi="宋体" w:eastAsia="宋体"/>
                <w:kern w:val="2"/>
                <w:sz w:val="24"/>
                <w:highlight w:val="none"/>
              </w:rPr>
              <w:t>XXX元</w:t>
            </w:r>
          </w:p>
        </w:tc>
      </w:tr>
      <w:tr w14:paraId="4E0FA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C0DA3C7">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D47C09F">
            <w:pPr>
              <w:pStyle w:val="3"/>
              <w:spacing w:line="300" w:lineRule="exact"/>
              <w:ind w:firstLine="0" w:firstLineChars="0"/>
              <w:rPr>
                <w:rFonts w:hint="eastAsia" w:ascii="宋体" w:hAnsi="宋体" w:eastAsia="宋体"/>
                <w:kern w:val="2"/>
                <w:sz w:val="21"/>
                <w:szCs w:val="21"/>
                <w:highlight w:val="none"/>
              </w:rPr>
            </w:pPr>
            <w:r>
              <w:rPr>
                <w:rFonts w:hint="eastAsia" w:ascii="宋体" w:hAnsi="宋体" w:eastAsia="宋体"/>
                <w:kern w:val="2"/>
                <w:sz w:val="24"/>
                <w:highlight w:val="none"/>
              </w:rPr>
              <w:t>仓</w:t>
            </w:r>
            <w:r>
              <w:rPr>
                <w:rFonts w:hint="eastAsia" w:ascii="宋体" w:hAnsi="宋体" w:eastAsia="宋体"/>
                <w:sz w:val="24"/>
                <w:highlight w:val="none"/>
              </w:rPr>
              <w:t>库车板交货。买方组</w:t>
            </w:r>
            <w:bookmarkStart w:id="0" w:name="_GoBack"/>
            <w:bookmarkEnd w:id="0"/>
            <w:r>
              <w:rPr>
                <w:rFonts w:hint="eastAsia" w:ascii="宋体" w:hAnsi="宋体" w:eastAsia="宋体"/>
                <w:sz w:val="24"/>
                <w:highlight w:val="none"/>
              </w:rPr>
              <w:t>织搬运人员，搬运装卸费、粮面整平费等费用由买方负责。买方向卖方收取30元/吨的入仓服务费，按仓库工作时间入仓。</w:t>
            </w:r>
          </w:p>
        </w:tc>
      </w:tr>
      <w:tr w14:paraId="37C3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D7F3986">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B12D9D5">
            <w:pPr>
              <w:pStyle w:val="3"/>
              <w:spacing w:line="300" w:lineRule="exact"/>
              <w:ind w:firstLine="0" w:firstLineChars="0"/>
              <w:rPr>
                <w:rFonts w:hint="eastAsia" w:ascii="宋体" w:hAnsi="宋体" w:eastAsia="宋体"/>
                <w:kern w:val="2"/>
                <w:sz w:val="21"/>
                <w:szCs w:val="21"/>
                <w:highlight w:val="none"/>
              </w:rPr>
            </w:pPr>
            <w:r>
              <w:rPr>
                <w:rFonts w:hint="eastAsia" w:ascii="宋体" w:hAnsi="宋体" w:eastAsia="宋体"/>
                <w:kern w:val="2"/>
                <w:sz w:val="24"/>
                <w:highlight w:val="none"/>
              </w:rPr>
              <w:t>2025年XX月XX日至2025年XX月XX日。在2025年XX月XX日之前完成入库4000吨以上（含4000吨）。</w:t>
            </w:r>
          </w:p>
        </w:tc>
      </w:tr>
      <w:tr w14:paraId="525D1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2C1E5F1F">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3FD4CD7E">
            <w:pPr>
              <w:pStyle w:val="3"/>
              <w:spacing w:line="300" w:lineRule="exact"/>
              <w:ind w:firstLine="0" w:firstLineChars="0"/>
              <w:rPr>
                <w:rFonts w:hint="eastAsia" w:ascii="宋体" w:hAnsi="宋体" w:eastAsia="宋体"/>
                <w:kern w:val="2"/>
                <w:sz w:val="24"/>
                <w:highlight w:val="none"/>
              </w:rPr>
            </w:pPr>
            <w:r>
              <w:rPr>
                <w:rFonts w:hint="eastAsia" w:ascii="宋体" w:hAnsi="宋体" w:eastAsia="宋体"/>
                <w:kern w:val="2"/>
                <w:sz w:val="24"/>
                <w:highlight w:val="none"/>
              </w:rPr>
              <w:t>罗坑仓库XXX仓</w:t>
            </w:r>
          </w:p>
        </w:tc>
      </w:tr>
      <w:tr w14:paraId="4FF15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278F976">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65183B4F">
            <w:pPr>
              <w:pStyle w:val="3"/>
              <w:spacing w:line="300" w:lineRule="exact"/>
              <w:ind w:firstLine="0" w:firstLineChars="0"/>
              <w:rPr>
                <w:rFonts w:hint="eastAsia" w:ascii="宋体" w:hAnsi="宋体" w:eastAsia="宋体"/>
                <w:sz w:val="24"/>
                <w:highlight w:val="none"/>
              </w:rPr>
            </w:pPr>
            <w:r>
              <w:rPr>
                <w:rFonts w:hint="eastAsia" w:ascii="宋体" w:hAnsi="宋体" w:eastAsia="宋体"/>
                <w:sz w:val="24"/>
                <w:highlight w:val="none"/>
              </w:rPr>
              <w:t>仓内散储</w:t>
            </w:r>
          </w:p>
        </w:tc>
      </w:tr>
      <w:tr w14:paraId="1210A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DB30886">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质量</w:t>
            </w:r>
          </w:p>
          <w:p w14:paraId="48844375">
            <w:pPr>
              <w:pStyle w:val="3"/>
              <w:spacing w:line="240" w:lineRule="auto"/>
              <w:ind w:firstLine="0" w:firstLineChars="0"/>
              <w:rPr>
                <w:rFonts w:hint="eastAsia" w:ascii="宋体" w:hAnsi="宋体" w:eastAsia="宋体"/>
                <w:b/>
                <w:bCs/>
                <w:kern w:val="2"/>
                <w:sz w:val="24"/>
                <w:highlight w:val="none"/>
              </w:rPr>
            </w:pPr>
            <w:r>
              <w:rPr>
                <w:rFonts w:hint="eastAsia" w:ascii="宋体" w:hAnsi="宋体" w:eastAsia="宋体"/>
                <w:b/>
                <w:bCs/>
                <w:kern w:val="2"/>
                <w:sz w:val="24"/>
                <w:highlight w:val="none"/>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CC43F28">
            <w:pPr>
              <w:pStyle w:val="3"/>
              <w:spacing w:line="300" w:lineRule="exact"/>
              <w:ind w:firstLine="0" w:firstLineChars="0"/>
              <w:rPr>
                <w:rFonts w:hint="eastAsia" w:ascii="宋体" w:hAnsi="宋体" w:eastAsia="宋体"/>
                <w:kern w:val="2"/>
                <w:sz w:val="21"/>
                <w:szCs w:val="21"/>
                <w:highlight w:val="none"/>
              </w:rPr>
            </w:pPr>
            <w:r>
              <w:rPr>
                <w:rFonts w:hint="eastAsia" w:ascii="宋体" w:hAnsi="宋体" w:eastAsia="宋体"/>
                <w:kern w:val="2"/>
                <w:sz w:val="24"/>
                <w:highlight w:val="none"/>
              </w:rPr>
              <w:t>执行GB1350-2009早籼三级稻谷（含三级）以上标准，质量检测主要指标达到：出糙率≥75%，整精米率≥44%，杂质≤1%，水分≤13.5%，黄粒米≤1%，谷外糙米含量≤2%，互混率≤5%，脂肪酸值≤18.5mgKOH/100g，色泽气味正常，无虫害，符合国家粮食卫生标准，其中要求镉≤0.2mg/kg。拒收泥谷、水浸谷、生芽谷。</w:t>
            </w:r>
          </w:p>
        </w:tc>
      </w:tr>
    </w:tbl>
    <w:p w14:paraId="16334DAE">
      <w:pPr>
        <w:keepNext w:val="0"/>
        <w:keepLines w:val="0"/>
        <w:pageBreakBefore w:val="0"/>
        <w:widowControl w:val="0"/>
        <w:kinsoku/>
        <w:wordWrap/>
        <w:overflowPunct/>
        <w:topLinePunct w:val="0"/>
        <w:autoSpaceDE w:val="0"/>
        <w:autoSpaceDN w:val="0"/>
        <w:bidi w:val="0"/>
        <w:adjustRightInd w:val="0"/>
        <w:snapToGrid/>
        <w:spacing w:line="300" w:lineRule="exact"/>
        <w:ind w:firstLine="482" w:firstLineChars="200"/>
        <w:textAlignment w:val="auto"/>
        <w:rPr>
          <w:rFonts w:hint="eastAsia" w:ascii="宋体" w:hAnsi="宋体"/>
          <w:color w:val="000000" w:themeColor="text1"/>
          <w:kern w:val="0"/>
          <w:sz w:val="24"/>
          <w:highlight w:val="none"/>
          <w14:textFill>
            <w14:solidFill>
              <w14:schemeClr w14:val="tx1"/>
            </w14:solidFill>
          </w14:textFill>
        </w:rPr>
      </w:pPr>
      <w:r>
        <w:rPr>
          <w:rFonts w:hint="eastAsia" w:ascii="宋体" w:hAnsi="宋体"/>
          <w:b/>
          <w:bCs/>
          <w:sz w:val="24"/>
          <w:highlight w:val="none"/>
        </w:rPr>
        <w:t>二、验收方式：</w:t>
      </w:r>
      <w:r>
        <w:rPr>
          <w:rFonts w:hint="eastAsia" w:ascii="宋体" w:hAnsi="宋体"/>
          <w:color w:val="000000" w:themeColor="text1"/>
          <w:kern w:val="0"/>
          <w:sz w:val="24"/>
          <w:highlight w:val="none"/>
          <w14:textFill>
            <w14:solidFill>
              <w14:schemeClr w14:val="tx1"/>
            </w14:solidFill>
          </w14:textFill>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14:paraId="112DC62E">
      <w:pPr>
        <w:keepNext w:val="0"/>
        <w:keepLines w:val="0"/>
        <w:pageBreakBefore w:val="0"/>
        <w:widowControl w:val="0"/>
        <w:kinsoku/>
        <w:wordWrap/>
        <w:overflowPunct/>
        <w:topLinePunct w:val="0"/>
        <w:autoSpaceDE w:val="0"/>
        <w:autoSpaceDN w:val="0"/>
        <w:bidi w:val="0"/>
        <w:adjustRightInd w:val="0"/>
        <w:snapToGrid/>
        <w:spacing w:line="320" w:lineRule="exact"/>
        <w:ind w:firstLine="482" w:firstLineChars="200"/>
        <w:textAlignment w:val="auto"/>
        <w:rPr>
          <w:rFonts w:hint="eastAsia" w:ascii="宋体" w:hAnsi="宋体"/>
          <w:color w:val="FF0000"/>
          <w:kern w:val="0"/>
          <w:sz w:val="24"/>
          <w:highlight w:val="none"/>
        </w:rPr>
      </w:pPr>
      <w:r>
        <w:rPr>
          <w:rFonts w:hint="eastAsia" w:ascii="宋体" w:hAnsi="宋体"/>
          <w:b/>
          <w:bCs/>
          <w:sz w:val="24"/>
          <w:highlight w:val="none"/>
        </w:rPr>
        <w:t>三、费用承担：</w:t>
      </w:r>
      <w:r>
        <w:rPr>
          <w:rFonts w:hint="eastAsia" w:ascii="宋体" w:hAnsi="宋体"/>
          <w:color w:val="000000" w:themeColor="text1"/>
          <w:kern w:val="0"/>
          <w:sz w:val="24"/>
          <w:highlight w:val="none"/>
          <w14:textFill>
            <w14:solidFill>
              <w14:schemeClr w14:val="tx1"/>
            </w14:solidFill>
          </w14:textFill>
        </w:rPr>
        <w:t>成交价为仓库车板交货价，入仓时由买方与有资质的第三方劳务装卸服务公司签订劳务费用支付合同及作业安全管理协议，卸车入库过程中产生的费用由买方承担。买方向卖方收取30元/吨的入仓服务费（</w:t>
      </w:r>
      <w:r>
        <w:rPr>
          <w:rFonts w:hint="eastAsia" w:ascii="宋体" w:hAnsi="宋体"/>
          <w:color w:val="000000" w:themeColor="text1"/>
          <w:sz w:val="24"/>
          <w:highlight w:val="none"/>
          <w14:textFill>
            <w14:solidFill>
              <w14:schemeClr w14:val="tx1"/>
            </w14:solidFill>
          </w14:textFill>
        </w:rPr>
        <w:t>含装卸搬运费、</w:t>
      </w:r>
      <w:r>
        <w:rPr>
          <w:rFonts w:hint="eastAsia" w:ascii="宋体" w:hAnsi="宋体"/>
          <w:color w:val="000000" w:themeColor="text1"/>
          <w:kern w:val="0"/>
          <w:sz w:val="24"/>
          <w:highlight w:val="none"/>
          <w14:textFill>
            <w14:solidFill>
              <w14:schemeClr w14:val="tx1"/>
            </w14:solidFill>
          </w14:textFill>
        </w:rPr>
        <w:t>设备使用费、水电费、过磅费、整理清扫费、</w:t>
      </w:r>
      <w:r>
        <w:rPr>
          <w:rFonts w:hint="eastAsia" w:ascii="宋体" w:hAnsi="宋体"/>
          <w:color w:val="000000" w:themeColor="text1"/>
          <w:sz w:val="24"/>
          <w:highlight w:val="none"/>
          <w14:textFill>
            <w14:solidFill>
              <w14:schemeClr w14:val="tx1"/>
            </w14:solidFill>
          </w14:textFill>
        </w:rPr>
        <w:t>粮面整平费、</w:t>
      </w:r>
      <w:r>
        <w:rPr>
          <w:rFonts w:hint="eastAsia" w:ascii="宋体" w:hAnsi="宋体"/>
          <w:color w:val="000000" w:themeColor="text1"/>
          <w:kern w:val="0"/>
          <w:sz w:val="24"/>
          <w:highlight w:val="none"/>
          <w14:textFill>
            <w14:solidFill>
              <w14:schemeClr w14:val="tx1"/>
            </w14:solidFill>
          </w14:textFill>
        </w:rPr>
        <w:t>入库期间管理费</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w:t>
      </w:r>
    </w:p>
    <w:p w14:paraId="65AEFCC3">
      <w:pPr>
        <w:keepNext w:val="0"/>
        <w:keepLines w:val="0"/>
        <w:pageBreakBefore w:val="0"/>
        <w:widowControl w:val="0"/>
        <w:kinsoku/>
        <w:wordWrap/>
        <w:overflowPunct/>
        <w:topLinePunct w:val="0"/>
        <w:autoSpaceDE w:val="0"/>
        <w:autoSpaceDN w:val="0"/>
        <w:bidi w:val="0"/>
        <w:adjustRightInd w:val="0"/>
        <w:snapToGrid/>
        <w:spacing w:line="320" w:lineRule="exact"/>
        <w:ind w:firstLine="482" w:firstLineChars="200"/>
        <w:textAlignment w:val="auto"/>
        <w:rPr>
          <w:rFonts w:hint="eastAsia" w:ascii="宋体" w:hAnsi="宋体"/>
          <w:b/>
          <w:kern w:val="0"/>
          <w:sz w:val="24"/>
          <w:highlight w:val="none"/>
        </w:rPr>
      </w:pPr>
      <w:r>
        <w:rPr>
          <w:rFonts w:hint="eastAsia" w:ascii="宋体" w:hAnsi="宋体"/>
          <w:b/>
          <w:bCs/>
          <w:sz w:val="24"/>
          <w:highlight w:val="none"/>
        </w:rPr>
        <w:t>四、货款结算：</w:t>
      </w:r>
      <w:r>
        <w:rPr>
          <w:rFonts w:hint="eastAsia" w:ascii="宋体" w:hAnsi="宋体"/>
          <w:color w:val="000000" w:themeColor="text1"/>
          <w:kern w:val="0"/>
          <w:sz w:val="24"/>
          <w:highlight w:val="none"/>
          <w14:textFill>
            <w14:solidFill>
              <w14:schemeClr w14:val="tx1"/>
            </w14:solidFill>
          </w14:textFill>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14:paraId="7B0E9867">
      <w:pPr>
        <w:pStyle w:val="4"/>
        <w:keepNext w:val="0"/>
        <w:keepLines w:val="0"/>
        <w:pageBreakBefore w:val="0"/>
        <w:widowControl w:val="0"/>
        <w:kinsoku/>
        <w:wordWrap/>
        <w:overflowPunct/>
        <w:topLinePunct w:val="0"/>
        <w:autoSpaceDE w:val="0"/>
        <w:autoSpaceDN w:val="0"/>
        <w:bidi w:val="0"/>
        <w:adjustRightInd w:val="0"/>
        <w:snapToGrid/>
        <w:spacing w:line="320" w:lineRule="exact"/>
        <w:ind w:left="0" w:leftChars="0" w:firstLine="482" w:firstLineChars="200"/>
        <w:textAlignment w:val="auto"/>
        <w:rPr>
          <w:rFonts w:hint="eastAsia" w:ascii="宋体" w:hAnsi="宋体" w:eastAsia="宋体"/>
          <w:highlight w:val="none"/>
        </w:rPr>
      </w:pPr>
      <w:r>
        <w:rPr>
          <w:rFonts w:hint="eastAsia" w:ascii="宋体" w:hAnsi="宋体" w:eastAsia="宋体"/>
          <w:b/>
          <w:highlight w:val="none"/>
        </w:rPr>
        <w:t>五、结算凭证：</w:t>
      </w:r>
      <w:r>
        <w:rPr>
          <w:rFonts w:hint="eastAsia" w:ascii="宋体" w:hAnsi="宋体" w:eastAsia="宋体"/>
          <w:highlight w:val="none"/>
        </w:rPr>
        <w:t>卖方提供本单位开出的有效货物销售增值税专用发票。</w:t>
      </w:r>
    </w:p>
    <w:p w14:paraId="21C098C9">
      <w:pPr>
        <w:pStyle w:val="3"/>
        <w:keepNext w:val="0"/>
        <w:keepLines w:val="0"/>
        <w:pageBreakBefore w:val="0"/>
        <w:widowControl w:val="0"/>
        <w:kinsoku/>
        <w:wordWrap/>
        <w:overflowPunct/>
        <w:topLinePunct w:val="0"/>
        <w:autoSpaceDE w:val="0"/>
        <w:autoSpaceDN w:val="0"/>
        <w:bidi w:val="0"/>
        <w:adjustRightInd w:val="0"/>
        <w:snapToGrid/>
        <w:spacing w:line="320" w:lineRule="exact"/>
        <w:ind w:left="0" w:leftChars="0" w:firstLine="482" w:firstLineChars="200"/>
        <w:textAlignment w:val="auto"/>
        <w:rPr>
          <w:rFonts w:hint="eastAsia" w:ascii="宋体" w:hAnsi="宋体" w:eastAsia="宋体"/>
          <w:sz w:val="24"/>
          <w:highlight w:val="none"/>
        </w:rPr>
      </w:pPr>
      <w:r>
        <w:rPr>
          <w:rFonts w:hint="eastAsia" w:ascii="宋体" w:hAnsi="宋体" w:eastAsia="宋体"/>
          <w:b/>
          <w:bCs/>
          <w:sz w:val="24"/>
          <w:highlight w:val="none"/>
        </w:rPr>
        <w:t>六、违约责任：</w:t>
      </w:r>
      <w:r>
        <w:rPr>
          <w:rFonts w:hint="eastAsia" w:ascii="宋体" w:hAnsi="宋体" w:eastAsia="宋体"/>
          <w:sz w:val="24"/>
          <w:highlight w:val="none"/>
        </w:rPr>
        <w:t>如有任何一方违约，违约部分保证金划归对方，并承担对方违约部分交易手续费，交易中心不承担经济责任。</w:t>
      </w:r>
    </w:p>
    <w:p w14:paraId="5D235A16">
      <w:pPr>
        <w:pStyle w:val="3"/>
        <w:keepNext w:val="0"/>
        <w:keepLines w:val="0"/>
        <w:pageBreakBefore w:val="0"/>
        <w:widowControl w:val="0"/>
        <w:kinsoku/>
        <w:wordWrap/>
        <w:overflowPunct/>
        <w:topLinePunct w:val="0"/>
        <w:autoSpaceDE w:val="0"/>
        <w:autoSpaceDN w:val="0"/>
        <w:bidi w:val="0"/>
        <w:adjustRightInd w:val="0"/>
        <w:snapToGrid/>
        <w:spacing w:line="276" w:lineRule="auto"/>
        <w:ind w:left="0" w:leftChars="0" w:firstLine="482" w:firstLineChars="200"/>
        <w:textAlignment w:val="auto"/>
        <w:rPr>
          <w:rFonts w:hint="eastAsia" w:ascii="宋体" w:hAnsi="宋体" w:eastAsia="宋体"/>
          <w:sz w:val="24"/>
          <w:highlight w:val="none"/>
        </w:rPr>
      </w:pPr>
      <w:r>
        <w:rPr>
          <w:rFonts w:hint="eastAsia" w:ascii="宋体" w:hAnsi="宋体" w:eastAsia="宋体"/>
          <w:b/>
          <w:bCs/>
          <w:sz w:val="24"/>
          <w:highlight w:val="none"/>
        </w:rPr>
        <w:t>七、其他事项：</w:t>
      </w:r>
      <w:r>
        <w:rPr>
          <w:rFonts w:hint="eastAsia" w:ascii="宋体" w:hAnsi="宋体" w:eastAsia="宋体"/>
          <w:sz w:val="24"/>
          <w:highlight w:val="none"/>
        </w:rPr>
        <w:t>①卖方必须提供产粮地的有效质检证明。</w:t>
      </w:r>
    </w:p>
    <w:p w14:paraId="3460DD79">
      <w:pPr>
        <w:pStyle w:val="3"/>
        <w:keepNext w:val="0"/>
        <w:keepLines w:val="0"/>
        <w:pageBreakBefore w:val="0"/>
        <w:widowControl w:val="0"/>
        <w:kinsoku/>
        <w:wordWrap/>
        <w:overflowPunct/>
        <w:topLinePunct w:val="0"/>
        <w:autoSpaceDE w:val="0"/>
        <w:autoSpaceDN w:val="0"/>
        <w:bidi w:val="0"/>
        <w:adjustRightInd w:val="0"/>
        <w:snapToGrid/>
        <w:spacing w:line="276" w:lineRule="auto"/>
        <w:ind w:firstLine="480" w:firstLineChars="200"/>
        <w:textAlignment w:val="auto"/>
        <w:rPr>
          <w:rFonts w:hint="eastAsia" w:ascii="宋体" w:hAnsi="宋体" w:eastAsia="宋体"/>
          <w:b/>
          <w:bCs/>
          <w:sz w:val="24"/>
          <w:highlight w:val="none"/>
        </w:rPr>
      </w:pPr>
      <w:r>
        <w:rPr>
          <w:rFonts w:hint="eastAsia" w:ascii="宋体" w:hAnsi="宋体" w:eastAsia="宋体"/>
          <w:sz w:val="24"/>
          <w:highlight w:val="none"/>
        </w:rPr>
        <w:t>②卖方人员、车辆必须服从买方仓库的管理。</w:t>
      </w:r>
    </w:p>
    <w:p w14:paraId="3B104650">
      <w:pPr>
        <w:keepNext w:val="0"/>
        <w:keepLines w:val="0"/>
        <w:pageBreakBefore w:val="0"/>
        <w:widowControl w:val="0"/>
        <w:kinsoku/>
        <w:wordWrap/>
        <w:overflowPunct/>
        <w:topLinePunct w:val="0"/>
        <w:autoSpaceDE w:val="0"/>
        <w:autoSpaceDN w:val="0"/>
        <w:bidi w:val="0"/>
        <w:adjustRightInd w:val="0"/>
        <w:snapToGrid/>
        <w:spacing w:line="276" w:lineRule="auto"/>
        <w:ind w:firstLine="482" w:firstLineChars="200"/>
        <w:textAlignment w:val="auto"/>
        <w:rPr>
          <w:rFonts w:hint="eastAsia" w:ascii="宋体" w:hAnsi="宋体"/>
          <w:kern w:val="0"/>
          <w:sz w:val="24"/>
          <w:highlight w:val="none"/>
        </w:rPr>
      </w:pPr>
      <w:r>
        <w:rPr>
          <w:rFonts w:hint="eastAsia" w:ascii="宋体" w:hAnsi="宋体"/>
          <w:b/>
          <w:bCs/>
          <w:kern w:val="0"/>
          <w:sz w:val="24"/>
          <w:highlight w:val="none"/>
        </w:rPr>
        <w:t>八、争议解决：</w:t>
      </w:r>
    </w:p>
    <w:p w14:paraId="52DE5CD0">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hint="eastAsia" w:ascii="宋体" w:hAnsi="宋体"/>
          <w:kern w:val="0"/>
          <w:sz w:val="24"/>
          <w:highlight w:val="none"/>
        </w:rPr>
      </w:pPr>
      <w:r>
        <w:rPr>
          <w:rFonts w:hint="eastAsia" w:ascii="宋体" w:hAnsi="宋体"/>
          <w:kern w:val="0"/>
          <w:sz w:val="24"/>
          <w:highlight w:val="none"/>
        </w:rPr>
        <w:t>1、出现不明确责任情况，由交易中心协调解决；</w:t>
      </w:r>
    </w:p>
    <w:p w14:paraId="4DA3CAAA">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hint="eastAsia" w:ascii="宋体" w:hAnsi="宋体"/>
          <w:kern w:val="0"/>
          <w:sz w:val="24"/>
        </w:rPr>
      </w:pPr>
      <w:r>
        <w:rPr>
          <w:rFonts w:hint="eastAsia" w:ascii="宋体" w:hAnsi="宋体"/>
          <w:kern w:val="0"/>
          <w:sz w:val="24"/>
          <w:highlight w:val="none"/>
        </w:rPr>
        <w:t>2、</w:t>
      </w:r>
      <w:r>
        <w:rPr>
          <w:rFonts w:hint="eastAsia" w:ascii="宋体" w:hAnsi="宋体"/>
          <w:kern w:val="0"/>
          <w:sz w:val="24"/>
          <w:highlight w:val="none"/>
        </w:rPr>
        <w:t>2025年XX月XX日</w:t>
      </w:r>
      <w:r>
        <w:rPr>
          <w:rFonts w:hint="eastAsia" w:ascii="宋体" w:hAnsi="宋体"/>
          <w:kern w:val="0"/>
          <w:sz w:val="24"/>
          <w:highlight w:val="none"/>
        </w:rPr>
        <w:t>之前入</w:t>
      </w:r>
      <w:r>
        <w:rPr>
          <w:rFonts w:hint="eastAsia" w:ascii="宋体" w:hAnsi="宋体"/>
          <w:kern w:val="0"/>
          <w:sz w:val="24"/>
        </w:rPr>
        <w:t>库数量未达到约定数量，差额部分按30元/吨扣罚卖方履约保证金。卖方逾期交货（含因质量不合格被买方拒收造成的逾期交货），交货期限逾期10天以内，每逾期1天，按逾期交货总金额的0.2%向买方支付滞纳金；超过11天的，由交易中心通知卖方停止供货，并按50元/吨扣罚卖方逾期费。由于不可抗力原因导致卖方逾期交货，卖方应在一周内向买方及交易中心报告，说明货物受阻、受影响数量等情况，经交易中心核实，并征得买方同意后，买卖双方签订补充协议，相应顺延合同履行期限。</w:t>
      </w:r>
    </w:p>
    <w:p w14:paraId="00EB3AAD">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hint="eastAsia"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以车次为单位，卖方来粮退货率不得超过20%，如超过20%的，超出部分按100元/车扣罚卖方履约保证金。</w:t>
      </w:r>
    </w:p>
    <w:p w14:paraId="12842212">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hint="eastAsia"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14:paraId="3B3F64C4">
      <w:pPr>
        <w:keepNext w:val="0"/>
        <w:keepLines w:val="0"/>
        <w:pageBreakBefore w:val="0"/>
        <w:widowControl w:val="0"/>
        <w:kinsoku/>
        <w:wordWrap/>
        <w:overflowPunct/>
        <w:topLinePunct w:val="0"/>
        <w:autoSpaceDE w:val="0"/>
        <w:autoSpaceDN w:val="0"/>
        <w:bidi w:val="0"/>
        <w:adjustRightInd w:val="0"/>
        <w:snapToGrid/>
        <w:spacing w:line="320" w:lineRule="exact"/>
        <w:ind w:firstLine="480" w:firstLineChars="200"/>
        <w:textAlignment w:val="auto"/>
        <w:rPr>
          <w:rFonts w:hint="eastAsia"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14:paraId="78F919FE">
      <w:pPr>
        <w:keepNext w:val="0"/>
        <w:keepLines w:val="0"/>
        <w:pageBreakBefore w:val="0"/>
        <w:widowControl w:val="0"/>
        <w:kinsoku/>
        <w:wordWrap/>
        <w:overflowPunct/>
        <w:topLinePunct w:val="0"/>
        <w:autoSpaceDE w:val="0"/>
        <w:autoSpaceDN w:val="0"/>
        <w:bidi w:val="0"/>
        <w:adjustRightInd w:val="0"/>
        <w:snapToGrid/>
        <w:spacing w:line="276" w:lineRule="auto"/>
        <w:ind w:firstLine="482" w:firstLineChars="200"/>
        <w:textAlignment w:val="auto"/>
        <w:rPr>
          <w:rFonts w:hint="eastAsia"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14:paraId="2B549712">
      <w:pPr>
        <w:keepNext w:val="0"/>
        <w:keepLines w:val="0"/>
        <w:pageBreakBefore w:val="0"/>
        <w:widowControl w:val="0"/>
        <w:kinsoku/>
        <w:wordWrap/>
        <w:overflowPunct/>
        <w:topLinePunct w:val="0"/>
        <w:autoSpaceDE w:val="0"/>
        <w:autoSpaceDN w:val="0"/>
        <w:bidi w:val="0"/>
        <w:adjustRightInd w:val="0"/>
        <w:snapToGrid/>
        <w:spacing w:line="276" w:lineRule="auto"/>
        <w:ind w:firstLine="482" w:firstLineChars="200"/>
        <w:textAlignment w:val="auto"/>
        <w:rPr>
          <w:rFonts w:hint="eastAsia"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73C1E085">
      <w:pPr>
        <w:keepNext w:val="0"/>
        <w:keepLines w:val="0"/>
        <w:pageBreakBefore w:val="0"/>
        <w:widowControl w:val="0"/>
        <w:kinsoku/>
        <w:wordWrap/>
        <w:overflowPunct/>
        <w:topLinePunct w:val="0"/>
        <w:autoSpaceDE w:val="0"/>
        <w:autoSpaceDN w:val="0"/>
        <w:bidi w:val="0"/>
        <w:adjustRightInd w:val="0"/>
        <w:snapToGrid/>
        <w:spacing w:line="276" w:lineRule="auto"/>
        <w:ind w:firstLine="482" w:firstLineChars="200"/>
        <w:textAlignment w:val="auto"/>
        <w:rPr>
          <w:rFonts w:hint="eastAsia"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14:paraId="047A54EC">
      <w:pPr>
        <w:keepNext w:val="0"/>
        <w:keepLines w:val="0"/>
        <w:pageBreakBefore w:val="0"/>
        <w:widowControl w:val="0"/>
        <w:kinsoku/>
        <w:wordWrap/>
        <w:overflowPunct/>
        <w:topLinePunct w:val="0"/>
        <w:autoSpaceDE w:val="0"/>
        <w:autoSpaceDN w:val="0"/>
        <w:bidi w:val="0"/>
        <w:adjustRightInd w:val="0"/>
        <w:snapToGrid/>
        <w:spacing w:line="276" w:lineRule="auto"/>
        <w:ind w:firstLine="482" w:firstLineChars="200"/>
        <w:textAlignment w:val="auto"/>
        <w:rPr>
          <w:rFonts w:hint="eastAsia"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14:paraId="4BC9A6A2">
      <w:pPr>
        <w:autoSpaceDE w:val="0"/>
        <w:autoSpaceDN w:val="0"/>
        <w:adjustRightInd w:val="0"/>
        <w:spacing w:line="460" w:lineRule="exact"/>
        <w:rPr>
          <w:rFonts w:hint="eastAsia" w:ascii="宋体" w:hAnsi="宋体"/>
          <w:kern w:val="0"/>
          <w:sz w:val="24"/>
        </w:rPr>
      </w:pPr>
      <w:r>
        <w:rPr>
          <w:rFonts w:hint="eastAsia" w:ascii="宋体" w:hAnsi="宋体"/>
          <w:kern w:val="0"/>
          <w:sz w:val="24"/>
        </w:rPr>
        <w:t xml:space="preserve">买方单位（盖章）：                    卖方单位（盖章）： </w:t>
      </w:r>
    </w:p>
    <w:p w14:paraId="760571AE">
      <w:pPr>
        <w:autoSpaceDE w:val="0"/>
        <w:autoSpaceDN w:val="0"/>
        <w:adjustRightInd w:val="0"/>
        <w:spacing w:line="460" w:lineRule="exact"/>
        <w:rPr>
          <w:rFonts w:hint="eastAsia" w:ascii="宋体" w:hAnsi="宋体"/>
          <w:kern w:val="0"/>
          <w:sz w:val="24"/>
        </w:rPr>
      </w:pPr>
      <w:r>
        <w:rPr>
          <w:rFonts w:hint="eastAsia" w:ascii="宋体" w:hAnsi="宋体"/>
          <w:kern w:val="0"/>
          <w:sz w:val="24"/>
        </w:rPr>
        <w:t>法定代表人（签字）：                  法定代表人（签字）：</w:t>
      </w:r>
    </w:p>
    <w:p w14:paraId="644AE5E8">
      <w:pPr>
        <w:spacing w:line="500" w:lineRule="exact"/>
        <w:rPr>
          <w:rFonts w:hint="eastAsia" w:ascii="宋体" w:hAnsi="宋体"/>
          <w:kern w:val="0"/>
          <w:sz w:val="24"/>
        </w:rPr>
      </w:pPr>
    </w:p>
    <w:p w14:paraId="73CECB45">
      <w:pPr>
        <w:spacing w:line="500" w:lineRule="exact"/>
        <w:rPr>
          <w:rFonts w:hint="eastAsia" w:ascii="宋体" w:hAnsi="宋体"/>
          <w:kern w:val="0"/>
          <w:sz w:val="24"/>
        </w:rPr>
      </w:pPr>
    </w:p>
    <w:p w14:paraId="586A40B9">
      <w:pPr>
        <w:spacing w:line="500" w:lineRule="exact"/>
        <w:rPr>
          <w:rFonts w:hint="eastAsia" w:ascii="宋体" w:hAnsi="宋体"/>
          <w:sz w:val="24"/>
        </w:rPr>
      </w:pPr>
      <w:r>
        <w:rPr>
          <w:rFonts w:hint="eastAsia" w:ascii="宋体" w:hAnsi="宋体"/>
          <w:sz w:val="24"/>
        </w:rPr>
        <w:t>确认单位：梅州市嘉应粮食交易中心有限公司</w:t>
      </w:r>
    </w:p>
    <w:p w14:paraId="1B519F2F">
      <w:pPr>
        <w:spacing w:line="500" w:lineRule="exact"/>
        <w:rPr>
          <w:rFonts w:hint="eastAsia"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56743085">
      <w:pPr>
        <w:spacing w:line="500" w:lineRule="exact"/>
        <w:jc w:val="right"/>
        <w:rPr>
          <w:rFonts w:hint="eastAsia" w:ascii="宋体" w:hAnsi="宋体"/>
          <w:sz w:val="24"/>
        </w:rPr>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pPr>
      <w:r>
        <w:rPr>
          <w:rFonts w:hint="eastAsia" w:ascii="宋体" w:hAnsi="宋体"/>
          <w:sz w:val="24"/>
        </w:rPr>
        <w:t>2025年XX月XX日</w:t>
      </w:r>
    </w:p>
    <w:p w14:paraId="6FB2AAEB">
      <w:pPr>
        <w:jc w:val="center"/>
        <w:rPr>
          <w:rFonts w:ascii="文星标宋" w:eastAsia="文星标宋"/>
          <w:sz w:val="44"/>
          <w:szCs w:val="44"/>
        </w:rPr>
      </w:pPr>
      <w:r>
        <w:rPr>
          <w:rFonts w:hint="eastAsia" w:ascii="文星标宋" w:eastAsia="文星标宋"/>
          <w:sz w:val="44"/>
          <w:szCs w:val="44"/>
        </w:rPr>
        <w:t>粮食质量安全信用承诺书</w:t>
      </w:r>
    </w:p>
    <w:p w14:paraId="1CF73023">
      <w:pPr>
        <w:jc w:val="center"/>
        <w:rPr>
          <w:rFonts w:ascii="文星标宋" w:eastAsia="文星标宋"/>
          <w:sz w:val="44"/>
          <w:szCs w:val="44"/>
        </w:rPr>
      </w:pPr>
    </w:p>
    <w:p w14:paraId="7391F98E">
      <w:pPr>
        <w:jc w:val="left"/>
        <w:rPr>
          <w:rFonts w:ascii="文星仿宋" w:eastAsia="文星仿宋"/>
          <w:sz w:val="32"/>
          <w:szCs w:val="32"/>
        </w:rPr>
      </w:pPr>
      <w:r>
        <w:rPr>
          <w:rFonts w:hint="eastAsia" w:ascii="文星仿宋" w:eastAsia="文星仿宋"/>
          <w:sz w:val="32"/>
          <w:szCs w:val="32"/>
        </w:rPr>
        <w:t>梅州市嘉泰粮食和物资储备有限公司：</w:t>
      </w:r>
    </w:p>
    <w:p w14:paraId="11FBB2DB">
      <w:pPr>
        <w:ind w:firstLine="640" w:firstLineChars="200"/>
        <w:jc w:val="left"/>
        <w:rPr>
          <w:rFonts w:hint="eastAsia" w:ascii="文星仿宋" w:eastAsia="文星仿宋" w:hAnsiTheme="minorEastAsia"/>
          <w:sz w:val="32"/>
          <w:szCs w:val="32"/>
        </w:rPr>
      </w:pPr>
      <w:r>
        <w:rPr>
          <w:rFonts w:hint="eastAsia" w:ascii="文星仿宋" w:eastAsia="文星仿宋"/>
          <w:sz w:val="32"/>
          <w:szCs w:val="32"/>
        </w:rPr>
        <w:t>我</w:t>
      </w:r>
      <w:r>
        <w:rPr>
          <w:rFonts w:hint="eastAsia" w:ascii="文星仿宋" w:eastAsia="文星仿宋" w:hAnsiTheme="minorEastAsia"/>
          <w:sz w:val="32"/>
          <w:szCs w:val="32"/>
        </w:rPr>
        <w:t>单位于</w:t>
      </w:r>
      <w:r>
        <w:rPr>
          <w:rFonts w:ascii="Times New Roman" w:hAnsi="Times New Roman" w:eastAsia="文星仿宋" w:cs="Times New Roman"/>
          <w:sz w:val="32"/>
          <w:szCs w:val="32"/>
        </w:rPr>
        <w:t>202</w:t>
      </w:r>
      <w:r>
        <w:rPr>
          <w:rFonts w:hint="eastAsia" w:ascii="Times New Roman" w:hAnsi="Times New Roman" w:eastAsia="文星仿宋" w:cs="Times New Roman"/>
          <w:sz w:val="32"/>
          <w:szCs w:val="32"/>
        </w:rPr>
        <w:t>5</w:t>
      </w:r>
      <w:r>
        <w:rPr>
          <w:rFonts w:hint="eastAsia" w:ascii="文星仿宋" w:eastAsia="文星仿宋" w:hAnsiTheme="minorEastAsia"/>
          <w:sz w:val="32"/>
          <w:szCs w:val="32"/>
        </w:rPr>
        <w:t>年XX月XX日在梅州市嘉应粮食交易中心有限公司竞价采购交易中标</w:t>
      </w:r>
      <w:r>
        <w:rPr>
          <w:rFonts w:hint="eastAsia" w:ascii="Times New Roman" w:hAnsi="Times New Roman" w:eastAsia="文星仿宋" w:cs="Times New Roman"/>
          <w:sz w:val="32"/>
          <w:szCs w:val="32"/>
        </w:rPr>
        <w:t>2025</w:t>
      </w:r>
      <w:r>
        <w:rPr>
          <w:rFonts w:hint="eastAsia" w:ascii="文星仿宋" w:eastAsia="文星仿宋" w:hAnsiTheme="minorEastAsia"/>
          <w:sz w:val="32"/>
          <w:szCs w:val="32"/>
        </w:rPr>
        <w:t>年产早籼三级稻谷XXXX吨（合同编号：</w:t>
      </w:r>
      <w:r>
        <w:rPr>
          <w:rFonts w:hint="eastAsia" w:ascii="Times New Roman" w:hAnsi="Times New Roman" w:eastAsia="文星仿宋" w:cs="Times New Roman"/>
          <w:sz w:val="32"/>
          <w:szCs w:val="32"/>
        </w:rPr>
        <w:t>2025</w:t>
      </w:r>
      <w:r>
        <w:rPr>
          <w:rFonts w:hint="eastAsia" w:ascii="文星仿宋" w:eastAsia="文星仿宋" w:hAnsiTheme="minorEastAsia"/>
          <w:sz w:val="32"/>
          <w:szCs w:val="32"/>
        </w:rPr>
        <w:t>XXXX）。我单位郑重承诺：</w:t>
      </w:r>
    </w:p>
    <w:p w14:paraId="61E8E668">
      <w:pPr>
        <w:ind w:firstLine="640" w:firstLineChars="200"/>
        <w:jc w:val="left"/>
        <w:rPr>
          <w:rFonts w:hint="eastAsia" w:ascii="文星仿宋" w:eastAsia="文星仿宋" w:hAnsiTheme="minorEastAsia"/>
          <w:sz w:val="32"/>
          <w:szCs w:val="32"/>
        </w:rPr>
      </w:pPr>
      <w:r>
        <w:rPr>
          <w:rFonts w:hint="eastAsia" w:ascii="文星仿宋" w:eastAsia="文星仿宋" w:hAnsiTheme="minorEastAsia"/>
          <w:sz w:val="32"/>
          <w:szCs w:val="32"/>
        </w:rPr>
        <w:t>一、销售给贵公司的</w:t>
      </w:r>
      <w:r>
        <w:rPr>
          <w:rFonts w:eastAsia="文星仿宋"/>
          <w:sz w:val="32"/>
          <w:szCs w:val="32"/>
        </w:rPr>
        <w:t>该</w:t>
      </w:r>
      <w:r>
        <w:rPr>
          <w:rFonts w:hint="eastAsia" w:eastAsia="文星仿宋"/>
          <w:sz w:val="32"/>
          <w:szCs w:val="32"/>
        </w:rPr>
        <w:t>批粮食</w:t>
      </w:r>
      <w:r>
        <w:rPr>
          <w:rFonts w:hint="eastAsia" w:ascii="文星仿宋" w:hAnsi="文星仿宋" w:eastAsia="文星仿宋" w:cs="文星仿宋"/>
          <w:sz w:val="32"/>
          <w:szCs w:val="32"/>
        </w:rPr>
        <w:t>我单位拥有</w:t>
      </w:r>
      <w:r>
        <w:rPr>
          <w:rFonts w:hint="eastAsia" w:eastAsia="文星仿宋"/>
          <w:sz w:val="32"/>
          <w:szCs w:val="32"/>
        </w:rPr>
        <w:t>完全处分权，该批粮食之上未设定</w:t>
      </w:r>
      <w:r>
        <w:rPr>
          <w:rFonts w:eastAsia="文星仿宋"/>
          <w:sz w:val="32"/>
          <w:szCs w:val="32"/>
        </w:rPr>
        <w:t>任何他物权等财产负担，且未有任何第三人对</w:t>
      </w:r>
      <w:r>
        <w:rPr>
          <w:rFonts w:hint="eastAsia" w:eastAsia="文星仿宋"/>
          <w:sz w:val="32"/>
          <w:szCs w:val="32"/>
        </w:rPr>
        <w:t>该批粮食</w:t>
      </w:r>
      <w:r>
        <w:rPr>
          <w:rFonts w:eastAsia="文星仿宋"/>
          <w:sz w:val="32"/>
          <w:szCs w:val="32"/>
        </w:rPr>
        <w:t>提出任何权利主张</w:t>
      </w:r>
      <w:r>
        <w:rPr>
          <w:rFonts w:hint="eastAsia" w:eastAsia="文星仿宋"/>
          <w:sz w:val="32"/>
          <w:szCs w:val="32"/>
        </w:rPr>
        <w:t>，不存在权利瑕疵</w:t>
      </w:r>
      <w:r>
        <w:rPr>
          <w:rFonts w:hint="eastAsia" w:ascii="文星仿宋" w:hAnsi="文星仿宋" w:eastAsia="文星仿宋" w:cs="文星仿宋"/>
          <w:sz w:val="32"/>
          <w:szCs w:val="32"/>
        </w:rPr>
        <w:t>。</w:t>
      </w:r>
    </w:p>
    <w:p w14:paraId="069EEB0B">
      <w:pPr>
        <w:ind w:firstLine="640" w:firstLineChars="200"/>
        <w:jc w:val="left"/>
        <w:rPr>
          <w:rFonts w:hint="eastAsia" w:ascii="文星仿宋" w:eastAsia="文星仿宋" w:hAnsiTheme="minorEastAsia"/>
          <w:sz w:val="32"/>
          <w:szCs w:val="32"/>
        </w:rPr>
      </w:pPr>
      <w:r>
        <w:rPr>
          <w:rFonts w:hint="eastAsia" w:ascii="文星仿宋" w:eastAsia="文星仿宋" w:hAnsiTheme="minorEastAsia"/>
          <w:sz w:val="32"/>
          <w:szCs w:val="32"/>
        </w:rPr>
        <w:t>二、销售给贵公司的粮食</w:t>
      </w:r>
      <w:r>
        <w:rPr>
          <w:rFonts w:hint="eastAsia" w:ascii="文星仿宋" w:hAnsi="文星仿宋" w:eastAsia="文星仿宋" w:cs="文星仿宋"/>
          <w:sz w:val="32"/>
          <w:szCs w:val="32"/>
        </w:rPr>
        <w:t>来源渠道合法正规，不混杂其他生产年份的粮食，不存在“以陈顶新”，“转圈粮”等违法违规行为</w:t>
      </w:r>
      <w:r>
        <w:rPr>
          <w:rFonts w:hint="eastAsia" w:ascii="宋体" w:hAnsi="宋体"/>
          <w:kern w:val="0"/>
          <w:sz w:val="24"/>
        </w:rPr>
        <w:t>，</w:t>
      </w:r>
      <w:r>
        <w:rPr>
          <w:rFonts w:hint="eastAsia" w:ascii="文星仿宋" w:hAnsi="文星仿宋" w:eastAsia="文星仿宋" w:cs="文星仿宋"/>
          <w:sz w:val="32"/>
          <w:szCs w:val="32"/>
        </w:rPr>
        <w:t>粮食质量符合合同约定标准。</w:t>
      </w:r>
    </w:p>
    <w:p w14:paraId="30F2A234">
      <w:pPr>
        <w:ind w:firstLine="640" w:firstLineChars="200"/>
        <w:jc w:val="left"/>
        <w:rPr>
          <w:rFonts w:hint="eastAsia" w:ascii="文星仿宋" w:eastAsia="文星仿宋" w:hAnsiTheme="minorEastAsia"/>
          <w:sz w:val="32"/>
          <w:szCs w:val="32"/>
        </w:rPr>
      </w:pPr>
      <w:r>
        <w:rPr>
          <w:rFonts w:hint="eastAsia" w:ascii="文星仿宋" w:hAnsi="文星仿宋" w:eastAsia="文星仿宋" w:cs="文星仿宋"/>
          <w:sz w:val="32"/>
          <w:szCs w:val="32"/>
        </w:rPr>
        <w:t>三、如有违反</w:t>
      </w:r>
      <w:r>
        <w:rPr>
          <w:rFonts w:hint="eastAsia" w:ascii="文星仿宋" w:eastAsia="文星仿宋" w:hAnsiTheme="minorEastAsia"/>
          <w:sz w:val="32"/>
          <w:szCs w:val="32"/>
        </w:rPr>
        <w:t>，我单位愿承担违约和相关法律责任。</w:t>
      </w:r>
    </w:p>
    <w:p w14:paraId="0F7D43EB">
      <w:pPr>
        <w:tabs>
          <w:tab w:val="left" w:pos="3206"/>
        </w:tabs>
        <w:ind w:firstLine="640" w:firstLineChars="200"/>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特此承诺</w:t>
      </w:r>
      <w:r>
        <w:rPr>
          <w:rFonts w:hint="eastAsia" w:ascii="文星仿宋" w:hAnsi="文星仿宋" w:eastAsia="文星仿宋" w:cs="文星仿宋"/>
          <w:sz w:val="32"/>
          <w:szCs w:val="32"/>
        </w:rPr>
        <w:tab/>
      </w:r>
    </w:p>
    <w:p w14:paraId="6E9E222B">
      <w:pPr>
        <w:ind w:firstLine="640" w:firstLineChars="200"/>
        <w:jc w:val="left"/>
        <w:rPr>
          <w:rFonts w:hint="eastAsia" w:ascii="文星仿宋" w:hAnsi="文星仿宋" w:eastAsia="文星仿宋" w:cs="文星仿宋"/>
          <w:sz w:val="32"/>
          <w:szCs w:val="32"/>
        </w:rPr>
      </w:pPr>
    </w:p>
    <w:p w14:paraId="09DE1E35">
      <w:pPr>
        <w:ind w:firstLine="640" w:firstLineChars="200"/>
        <w:jc w:val="left"/>
        <w:rPr>
          <w:rFonts w:hint="eastAsia" w:ascii="文星仿宋" w:hAnsi="文星仿宋" w:eastAsia="文星仿宋" w:cs="文星仿宋"/>
          <w:sz w:val="32"/>
          <w:szCs w:val="32"/>
        </w:rPr>
      </w:pPr>
    </w:p>
    <w:p w14:paraId="25BC4388">
      <w:pPr>
        <w:ind w:firstLine="2320" w:firstLineChars="725"/>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XX有限公司</w:t>
      </w:r>
    </w:p>
    <w:p w14:paraId="290CCA0A">
      <w:pPr>
        <w:ind w:firstLine="2320" w:firstLineChars="725"/>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统一社会信用代码：</w:t>
      </w:r>
    </w:p>
    <w:p w14:paraId="47CDAB43">
      <w:pPr>
        <w:ind w:left="3351" w:leftChars="1104" w:hanging="1033" w:hangingChars="323"/>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法定代表人签名：</w:t>
      </w:r>
    </w:p>
    <w:p w14:paraId="061DD0D6">
      <w:pPr>
        <w:ind w:firstLine="640" w:firstLineChars="200"/>
        <w:jc w:val="left"/>
        <w:rPr>
          <w:rFonts w:ascii="文星仿宋" w:eastAsia="文星仿宋"/>
          <w:sz w:val="32"/>
          <w:szCs w:val="32"/>
        </w:rPr>
      </w:pPr>
      <w:r>
        <w:rPr>
          <w:rFonts w:hint="eastAsia" w:ascii="文星仿宋" w:hAnsi="文星仿宋" w:eastAsia="文星仿宋" w:cs="文星仿宋"/>
          <w:sz w:val="32"/>
          <w:szCs w:val="32"/>
        </w:rPr>
        <w:t xml:space="preserve">           </w:t>
      </w:r>
      <w:r>
        <w:rPr>
          <w:rFonts w:hint="eastAsia" w:ascii="Times New Roman" w:hAnsi="Times New Roman" w:eastAsia="文星仿宋" w:cs="Times New Roman"/>
          <w:sz w:val="32"/>
          <w:szCs w:val="32"/>
        </w:rPr>
        <w:t>2025</w:t>
      </w:r>
      <w:r>
        <w:rPr>
          <w:rFonts w:hint="eastAsia" w:ascii="文星仿宋" w:hAnsi="文星仿宋" w:eastAsia="文星仿宋" w:cs="文星仿宋"/>
          <w:sz w:val="32"/>
          <w:szCs w:val="32"/>
        </w:rPr>
        <w:t>年</w:t>
      </w:r>
      <w:r>
        <w:rPr>
          <w:rFonts w:hint="eastAsia" w:ascii="文星仿宋" w:eastAsia="文星仿宋" w:hAnsiTheme="minorEastAsia"/>
          <w:sz w:val="32"/>
          <w:szCs w:val="32"/>
        </w:rPr>
        <w:t>XX</w:t>
      </w:r>
      <w:r>
        <w:rPr>
          <w:rFonts w:hint="eastAsia" w:ascii="文星仿宋" w:hAnsi="文星仿宋" w:eastAsia="文星仿宋" w:cs="文星仿宋"/>
          <w:sz w:val="32"/>
          <w:szCs w:val="32"/>
        </w:rPr>
        <w:t>月</w:t>
      </w:r>
      <w:r>
        <w:rPr>
          <w:rFonts w:hint="eastAsia" w:ascii="文星仿宋" w:eastAsia="文星仿宋" w:hAnsiTheme="minorEastAsia"/>
          <w:sz w:val="32"/>
          <w:szCs w:val="32"/>
        </w:rPr>
        <w:t>XX</w:t>
      </w:r>
      <w:r>
        <w:rPr>
          <w:rFonts w:hint="eastAsia" w:ascii="文星仿宋" w:hAnsi="文星仿宋" w:eastAsia="文星仿宋" w:cs="文星仿宋"/>
          <w:sz w:val="32"/>
          <w:szCs w:val="32"/>
        </w:rPr>
        <w:t>日</w:t>
      </w:r>
    </w:p>
    <w:p w14:paraId="281DFE20">
      <w:pPr>
        <w:spacing w:line="500" w:lineRule="exact"/>
        <w:jc w:val="right"/>
        <w:rPr>
          <w:rFonts w:hint="eastAsia"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标宋">
    <w:panose1 w:val="02010609000101010101"/>
    <w:charset w:val="86"/>
    <w:family w:val="modern"/>
    <w:pitch w:val="default"/>
    <w:sig w:usb0="00000001" w:usb1="080E0000" w:usb2="00000000" w:usb3="00000000" w:csb0="00040000" w:csb1="00000000"/>
  </w:font>
  <w:font w:name="文星仿宋">
    <w:panose1 w:val="02010604000101010101"/>
    <w:charset w:val="86"/>
    <w:family w:val="modern"/>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173E9">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0C9E10B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37A44">
    <w:pPr>
      <w:pStyle w:val="6"/>
      <w:framePr w:wrap="around" w:vAnchor="text" w:hAnchor="margin" w:xAlign="center" w:y="1"/>
      <w:rPr>
        <w:rStyle w:val="11"/>
      </w:rPr>
    </w:pPr>
    <w:r>
      <w:fldChar w:fldCharType="begin"/>
    </w:r>
    <w:r>
      <w:rPr>
        <w:rStyle w:val="11"/>
      </w:rPr>
      <w:instrText xml:space="preserve">PAGE  </w:instrText>
    </w:r>
    <w:r>
      <w:fldChar w:fldCharType="end"/>
    </w:r>
  </w:p>
  <w:p w14:paraId="3868173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629D1">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iNTUyMmU3Yjk0ODkwZTFiYTFmOWE1MTg4Njg3NDM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7F84"/>
    <w:rsid w:val="00086CF7"/>
    <w:rsid w:val="00090ABE"/>
    <w:rsid w:val="00094F2B"/>
    <w:rsid w:val="00096B25"/>
    <w:rsid w:val="000A0633"/>
    <w:rsid w:val="000A09F7"/>
    <w:rsid w:val="000A1D1F"/>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12A"/>
    <w:rsid w:val="00152DA2"/>
    <w:rsid w:val="00184CAB"/>
    <w:rsid w:val="0019175D"/>
    <w:rsid w:val="00194632"/>
    <w:rsid w:val="0019661D"/>
    <w:rsid w:val="001A0993"/>
    <w:rsid w:val="001A765E"/>
    <w:rsid w:val="001B6B5F"/>
    <w:rsid w:val="001C2629"/>
    <w:rsid w:val="001D579A"/>
    <w:rsid w:val="001E10AE"/>
    <w:rsid w:val="001E2B98"/>
    <w:rsid w:val="001E3CA3"/>
    <w:rsid w:val="001E4FDA"/>
    <w:rsid w:val="001E594C"/>
    <w:rsid w:val="001F768A"/>
    <w:rsid w:val="00200335"/>
    <w:rsid w:val="00201245"/>
    <w:rsid w:val="00206907"/>
    <w:rsid w:val="002115FE"/>
    <w:rsid w:val="002116A3"/>
    <w:rsid w:val="002203EE"/>
    <w:rsid w:val="00221ED0"/>
    <w:rsid w:val="002263BB"/>
    <w:rsid w:val="00230826"/>
    <w:rsid w:val="00234722"/>
    <w:rsid w:val="00256722"/>
    <w:rsid w:val="00265B18"/>
    <w:rsid w:val="00275E64"/>
    <w:rsid w:val="0029138D"/>
    <w:rsid w:val="002914C6"/>
    <w:rsid w:val="00297ADC"/>
    <w:rsid w:val="002A322F"/>
    <w:rsid w:val="002B4B08"/>
    <w:rsid w:val="002C1323"/>
    <w:rsid w:val="002C67DE"/>
    <w:rsid w:val="002E0E68"/>
    <w:rsid w:val="002F26F5"/>
    <w:rsid w:val="002F5CB1"/>
    <w:rsid w:val="002F6BDB"/>
    <w:rsid w:val="003038C8"/>
    <w:rsid w:val="00304C25"/>
    <w:rsid w:val="003210DD"/>
    <w:rsid w:val="00323542"/>
    <w:rsid w:val="00333BEE"/>
    <w:rsid w:val="00343AC6"/>
    <w:rsid w:val="00351E3A"/>
    <w:rsid w:val="00366E27"/>
    <w:rsid w:val="00371CF7"/>
    <w:rsid w:val="003846F5"/>
    <w:rsid w:val="00385F2B"/>
    <w:rsid w:val="00391184"/>
    <w:rsid w:val="003950A2"/>
    <w:rsid w:val="003A760F"/>
    <w:rsid w:val="003B0C28"/>
    <w:rsid w:val="003B6694"/>
    <w:rsid w:val="003B7CBD"/>
    <w:rsid w:val="003C0010"/>
    <w:rsid w:val="003C122A"/>
    <w:rsid w:val="003C1B0F"/>
    <w:rsid w:val="003D3DAC"/>
    <w:rsid w:val="003D641E"/>
    <w:rsid w:val="003D66AA"/>
    <w:rsid w:val="003D6FBD"/>
    <w:rsid w:val="003E051E"/>
    <w:rsid w:val="003E0C09"/>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87D5C"/>
    <w:rsid w:val="00497FD1"/>
    <w:rsid w:val="004A095E"/>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187C"/>
    <w:rsid w:val="00585AE5"/>
    <w:rsid w:val="005874E9"/>
    <w:rsid w:val="00594B32"/>
    <w:rsid w:val="005A266A"/>
    <w:rsid w:val="005B6590"/>
    <w:rsid w:val="005C6853"/>
    <w:rsid w:val="005D5600"/>
    <w:rsid w:val="005E0730"/>
    <w:rsid w:val="005E1815"/>
    <w:rsid w:val="005E658F"/>
    <w:rsid w:val="005F3B4B"/>
    <w:rsid w:val="00606DF5"/>
    <w:rsid w:val="0061262E"/>
    <w:rsid w:val="006358E0"/>
    <w:rsid w:val="00644FB7"/>
    <w:rsid w:val="006507AA"/>
    <w:rsid w:val="00651C70"/>
    <w:rsid w:val="00656CEC"/>
    <w:rsid w:val="00656FAB"/>
    <w:rsid w:val="00672731"/>
    <w:rsid w:val="00672A4C"/>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262C"/>
    <w:rsid w:val="007244E1"/>
    <w:rsid w:val="00727C6D"/>
    <w:rsid w:val="007505F7"/>
    <w:rsid w:val="007523DD"/>
    <w:rsid w:val="00753619"/>
    <w:rsid w:val="007538F2"/>
    <w:rsid w:val="00756BA9"/>
    <w:rsid w:val="00762D9E"/>
    <w:rsid w:val="0077494A"/>
    <w:rsid w:val="00776CB9"/>
    <w:rsid w:val="00781293"/>
    <w:rsid w:val="007A273F"/>
    <w:rsid w:val="007A2EC9"/>
    <w:rsid w:val="007A3877"/>
    <w:rsid w:val="007B3B44"/>
    <w:rsid w:val="007D0C0F"/>
    <w:rsid w:val="007D3A9C"/>
    <w:rsid w:val="007D4AEC"/>
    <w:rsid w:val="007D71C0"/>
    <w:rsid w:val="007E1BB5"/>
    <w:rsid w:val="007E4470"/>
    <w:rsid w:val="007F4EC0"/>
    <w:rsid w:val="007F7866"/>
    <w:rsid w:val="00800713"/>
    <w:rsid w:val="00803A12"/>
    <w:rsid w:val="00807630"/>
    <w:rsid w:val="00811E30"/>
    <w:rsid w:val="0081372D"/>
    <w:rsid w:val="00816F5C"/>
    <w:rsid w:val="00817C52"/>
    <w:rsid w:val="00840854"/>
    <w:rsid w:val="00856319"/>
    <w:rsid w:val="008661C4"/>
    <w:rsid w:val="00880776"/>
    <w:rsid w:val="00890A7C"/>
    <w:rsid w:val="00894724"/>
    <w:rsid w:val="00894BCB"/>
    <w:rsid w:val="00897A05"/>
    <w:rsid w:val="008A27D8"/>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0044"/>
    <w:rsid w:val="00982B1B"/>
    <w:rsid w:val="009841DB"/>
    <w:rsid w:val="0098781B"/>
    <w:rsid w:val="00995EB5"/>
    <w:rsid w:val="00997E5F"/>
    <w:rsid w:val="009A0975"/>
    <w:rsid w:val="009B4746"/>
    <w:rsid w:val="009B727A"/>
    <w:rsid w:val="009C0410"/>
    <w:rsid w:val="009C1A33"/>
    <w:rsid w:val="009D1AF3"/>
    <w:rsid w:val="009D25A5"/>
    <w:rsid w:val="009E1C25"/>
    <w:rsid w:val="009F1556"/>
    <w:rsid w:val="009F1BE8"/>
    <w:rsid w:val="009F238F"/>
    <w:rsid w:val="009F6E54"/>
    <w:rsid w:val="009F7D0D"/>
    <w:rsid w:val="00A1109F"/>
    <w:rsid w:val="00A241D6"/>
    <w:rsid w:val="00A5661E"/>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4394"/>
    <w:rsid w:val="00B85595"/>
    <w:rsid w:val="00B91D67"/>
    <w:rsid w:val="00B948AD"/>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52187"/>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989"/>
    <w:rsid w:val="00D24C2D"/>
    <w:rsid w:val="00D258A1"/>
    <w:rsid w:val="00D57136"/>
    <w:rsid w:val="00D5713F"/>
    <w:rsid w:val="00D60E40"/>
    <w:rsid w:val="00D652C4"/>
    <w:rsid w:val="00D73337"/>
    <w:rsid w:val="00D75AA6"/>
    <w:rsid w:val="00D836D9"/>
    <w:rsid w:val="00D851E9"/>
    <w:rsid w:val="00D95A57"/>
    <w:rsid w:val="00D97003"/>
    <w:rsid w:val="00DA3629"/>
    <w:rsid w:val="00DB0B92"/>
    <w:rsid w:val="00DB1AFF"/>
    <w:rsid w:val="00DB4B2E"/>
    <w:rsid w:val="00DC232D"/>
    <w:rsid w:val="00DE2C0F"/>
    <w:rsid w:val="00DE3463"/>
    <w:rsid w:val="00DE4060"/>
    <w:rsid w:val="00DF6020"/>
    <w:rsid w:val="00E07358"/>
    <w:rsid w:val="00E1028B"/>
    <w:rsid w:val="00E14A60"/>
    <w:rsid w:val="00E20EA5"/>
    <w:rsid w:val="00E219D2"/>
    <w:rsid w:val="00E23D58"/>
    <w:rsid w:val="00E33929"/>
    <w:rsid w:val="00E40991"/>
    <w:rsid w:val="00E4270E"/>
    <w:rsid w:val="00E43966"/>
    <w:rsid w:val="00E43A10"/>
    <w:rsid w:val="00E512AF"/>
    <w:rsid w:val="00E533CC"/>
    <w:rsid w:val="00E54836"/>
    <w:rsid w:val="00E65B1A"/>
    <w:rsid w:val="00E80D78"/>
    <w:rsid w:val="00E81C52"/>
    <w:rsid w:val="00E827AD"/>
    <w:rsid w:val="00E85B2B"/>
    <w:rsid w:val="00E85C18"/>
    <w:rsid w:val="00E87E68"/>
    <w:rsid w:val="00EA2EC3"/>
    <w:rsid w:val="00EA39FC"/>
    <w:rsid w:val="00EA461C"/>
    <w:rsid w:val="00EB1C3F"/>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263246"/>
    <w:rsid w:val="0EEC7B37"/>
    <w:rsid w:val="0F3236B6"/>
    <w:rsid w:val="0F672DA8"/>
    <w:rsid w:val="0FCD39CA"/>
    <w:rsid w:val="10CB02D8"/>
    <w:rsid w:val="118C0E6B"/>
    <w:rsid w:val="12135876"/>
    <w:rsid w:val="125C3356"/>
    <w:rsid w:val="127C4DBC"/>
    <w:rsid w:val="1346135D"/>
    <w:rsid w:val="17E0408A"/>
    <w:rsid w:val="17E31439"/>
    <w:rsid w:val="1857557B"/>
    <w:rsid w:val="1AFC7132"/>
    <w:rsid w:val="1D7A639C"/>
    <w:rsid w:val="20360172"/>
    <w:rsid w:val="215A0B39"/>
    <w:rsid w:val="225D7EDE"/>
    <w:rsid w:val="240E30B5"/>
    <w:rsid w:val="26095380"/>
    <w:rsid w:val="2A8E7BD6"/>
    <w:rsid w:val="2C1A571D"/>
    <w:rsid w:val="2D000152"/>
    <w:rsid w:val="2ECE4DFA"/>
    <w:rsid w:val="2F584C39"/>
    <w:rsid w:val="30EC4FCB"/>
    <w:rsid w:val="31D670FA"/>
    <w:rsid w:val="321B5F48"/>
    <w:rsid w:val="323D01C2"/>
    <w:rsid w:val="33EC7386"/>
    <w:rsid w:val="349D0E96"/>
    <w:rsid w:val="355B33E1"/>
    <w:rsid w:val="36787D3F"/>
    <w:rsid w:val="37353CF1"/>
    <w:rsid w:val="378D4918"/>
    <w:rsid w:val="3AF85F80"/>
    <w:rsid w:val="3B82134E"/>
    <w:rsid w:val="3C0D0169"/>
    <w:rsid w:val="3C856F5D"/>
    <w:rsid w:val="3D4354D0"/>
    <w:rsid w:val="3D51466B"/>
    <w:rsid w:val="3F7756B9"/>
    <w:rsid w:val="40893FBC"/>
    <w:rsid w:val="408A516E"/>
    <w:rsid w:val="42776B9A"/>
    <w:rsid w:val="42BE54D1"/>
    <w:rsid w:val="435265C6"/>
    <w:rsid w:val="4389779A"/>
    <w:rsid w:val="43BB4ED7"/>
    <w:rsid w:val="456B20FC"/>
    <w:rsid w:val="482655AF"/>
    <w:rsid w:val="48A47531"/>
    <w:rsid w:val="49497F5F"/>
    <w:rsid w:val="4AD229A4"/>
    <w:rsid w:val="4C4D38D7"/>
    <w:rsid w:val="4CC8609B"/>
    <w:rsid w:val="4E5649C1"/>
    <w:rsid w:val="4EEC05F8"/>
    <w:rsid w:val="505B0E92"/>
    <w:rsid w:val="5117647A"/>
    <w:rsid w:val="52275BA3"/>
    <w:rsid w:val="523B63BD"/>
    <w:rsid w:val="5503669C"/>
    <w:rsid w:val="5659286D"/>
    <w:rsid w:val="57D202A6"/>
    <w:rsid w:val="57FA74C5"/>
    <w:rsid w:val="5B822C91"/>
    <w:rsid w:val="5FC72947"/>
    <w:rsid w:val="603F27E3"/>
    <w:rsid w:val="60B20EBA"/>
    <w:rsid w:val="60B600C2"/>
    <w:rsid w:val="61077514"/>
    <w:rsid w:val="61200DE8"/>
    <w:rsid w:val="619A6C42"/>
    <w:rsid w:val="647C1FC7"/>
    <w:rsid w:val="66E12C28"/>
    <w:rsid w:val="66F01898"/>
    <w:rsid w:val="698741E4"/>
    <w:rsid w:val="6A535578"/>
    <w:rsid w:val="6AD14CF6"/>
    <w:rsid w:val="6BA4711E"/>
    <w:rsid w:val="6C266360"/>
    <w:rsid w:val="71F226C2"/>
    <w:rsid w:val="740B2A1F"/>
    <w:rsid w:val="751002ED"/>
    <w:rsid w:val="7670311D"/>
    <w:rsid w:val="76D16318"/>
    <w:rsid w:val="78063DE7"/>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字符"/>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1867</Words>
  <Characters>1996</Characters>
  <Lines>15</Lines>
  <Paragraphs>4</Paragraphs>
  <TotalTime>0</TotalTime>
  <ScaleCrop>false</ScaleCrop>
  <LinksUpToDate>false</LinksUpToDate>
  <CharactersWithSpaces>2116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晨怡</cp:lastModifiedBy>
  <cp:lastPrinted>2024-07-22T07:57:00Z</cp:lastPrinted>
  <dcterms:modified xsi:type="dcterms:W3CDTF">2025-08-27T08:02:25Z</dcterms:modified>
  <dc:title>广东华南粮食中心批发市场</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8C8535B0691E40389324D094A15AE549_13</vt:lpwstr>
  </property>
  <property fmtid="{D5CDD505-2E9C-101B-9397-08002B2CF9AE}" pid="4" name="KSOTemplateDocerSaveRecord">
    <vt:lpwstr>eyJoZGlkIjoiZDQzNWNjZmMwOGZkY2FmNjMzMDM1ZTk0ODJlZGM0NzIiLCJ1c2VySWQiOiI3NjE2NDY1NDUifQ==</vt:lpwstr>
  </property>
</Properties>
</file>