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CE3BA">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14:paraId="6FF6A579">
      <w:pPr>
        <w:autoSpaceDE w:val="0"/>
        <w:autoSpaceDN w:val="0"/>
        <w:adjustRightInd w:val="0"/>
        <w:jc w:val="center"/>
        <w:rPr>
          <w:rFonts w:ascii="宋体" w:hAnsi="宋体"/>
          <w:b/>
          <w:kern w:val="0"/>
          <w:sz w:val="48"/>
          <w:szCs w:val="48"/>
        </w:rPr>
      </w:pPr>
      <w:r>
        <w:rPr>
          <w:rFonts w:hint="eastAsia" w:ascii="宋体" w:hAnsi="宋体"/>
          <w:b/>
          <w:kern w:val="0"/>
          <w:sz w:val="48"/>
          <w:szCs w:val="48"/>
        </w:rPr>
        <w:t xml:space="preserve"> 粮食竞价采购交易合同</w:t>
      </w:r>
    </w:p>
    <w:p w14:paraId="31A6BFB6">
      <w:pPr>
        <w:autoSpaceDE w:val="0"/>
        <w:autoSpaceDN w:val="0"/>
        <w:adjustRightInd w:val="0"/>
        <w:jc w:val="center"/>
        <w:rPr>
          <w:rFonts w:ascii="宋体" w:hAnsi="宋体"/>
          <w:b/>
          <w:kern w:val="0"/>
          <w:sz w:val="48"/>
          <w:szCs w:val="48"/>
        </w:rPr>
      </w:pPr>
    </w:p>
    <w:p w14:paraId="0F9710E7">
      <w:pPr>
        <w:autoSpaceDE w:val="0"/>
        <w:autoSpaceDN w:val="0"/>
        <w:adjustRightInd w:val="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合同编号：</w:t>
      </w:r>
    </w:p>
    <w:p w14:paraId="3050DE4B">
      <w:pPr>
        <w:autoSpaceDE w:val="0"/>
        <w:autoSpaceDN w:val="0"/>
        <w:adjustRightInd w:val="0"/>
        <w:rPr>
          <w:rFonts w:asciiTheme="minorEastAsia" w:hAnsiTheme="minorEastAsia" w:eastAsiaTheme="minorEastAsia"/>
          <w:color w:val="000000" w:themeColor="text1"/>
          <w:kern w:val="0"/>
          <w:sz w:val="24"/>
          <w:szCs w:val="24"/>
          <w14:textFill>
            <w14:solidFill>
              <w14:schemeClr w14:val="tx1"/>
            </w14:solidFill>
          </w14:textFill>
        </w:rPr>
      </w:pPr>
    </w:p>
    <w:p w14:paraId="61D08E07">
      <w:pPr>
        <w:autoSpaceDE w:val="0"/>
        <w:autoSpaceDN w:val="0"/>
        <w:adjustRightInd w:val="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买方全称：蕉岭县金穗粮食收储有限公司</w:t>
      </w:r>
    </w:p>
    <w:p w14:paraId="63133681">
      <w:pPr>
        <w:autoSpaceDE w:val="0"/>
        <w:autoSpaceDN w:val="0"/>
        <w:adjustRightInd w:val="0"/>
        <w:rPr>
          <w:rFonts w:asciiTheme="minorEastAsia" w:hAnsiTheme="minorEastAsia" w:eastAsiaTheme="minorEastAsia"/>
          <w:color w:val="000000" w:themeColor="text1"/>
          <w:kern w:val="0"/>
          <w:sz w:val="24"/>
          <w:szCs w:val="24"/>
          <w14:textFill>
            <w14:solidFill>
              <w14:schemeClr w14:val="tx1"/>
            </w14:solidFill>
          </w14:textFill>
        </w:rPr>
      </w:pPr>
    </w:p>
    <w:p w14:paraId="403BC268">
      <w:pPr>
        <w:autoSpaceDE w:val="0"/>
        <w:autoSpaceDN w:val="0"/>
        <w:adjustRightInd w:val="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卖方全称：</w:t>
      </w:r>
    </w:p>
    <w:p w14:paraId="1956D938">
      <w:pPr>
        <w:autoSpaceDE w:val="0"/>
        <w:autoSpaceDN w:val="0"/>
        <w:adjustRightInd w:val="0"/>
        <w:rPr>
          <w:rFonts w:asciiTheme="minorEastAsia" w:hAnsiTheme="minorEastAsia" w:eastAsiaTheme="minorEastAsia"/>
          <w:color w:val="000000" w:themeColor="text1"/>
          <w:kern w:val="0"/>
          <w:sz w:val="24"/>
          <w:szCs w:val="24"/>
          <w14:textFill>
            <w14:solidFill>
              <w14:schemeClr w14:val="tx1"/>
            </w14:solidFill>
          </w14:textFill>
        </w:rPr>
      </w:pPr>
    </w:p>
    <w:p w14:paraId="401A95C3">
      <w:pPr>
        <w:autoSpaceDE w:val="0"/>
        <w:autoSpaceDN w:val="0"/>
        <w:adjustRightInd w:val="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一、成交标的（见下表）                             单位：元、吨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3"/>
        <w:gridCol w:w="2125"/>
        <w:gridCol w:w="1133"/>
        <w:gridCol w:w="3548"/>
      </w:tblGrid>
      <w:tr w14:paraId="17312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573" w:type="dxa"/>
            <w:tcBorders>
              <w:top w:val="single" w:color="auto" w:sz="4" w:space="0"/>
              <w:left w:val="single" w:color="auto" w:sz="4" w:space="0"/>
              <w:bottom w:val="single" w:color="auto" w:sz="4" w:space="0"/>
              <w:right w:val="single" w:color="auto" w:sz="4" w:space="0"/>
            </w:tcBorders>
            <w:vAlign w:val="center"/>
          </w:tcPr>
          <w:p w14:paraId="06BEA74E">
            <w:pPr>
              <w:autoSpaceDE w:val="0"/>
              <w:autoSpaceDN w:val="0"/>
              <w:adjustRightInd w:val="0"/>
              <w:jc w:val="center"/>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标的号</w:t>
            </w:r>
          </w:p>
        </w:tc>
        <w:tc>
          <w:tcPr>
            <w:tcW w:w="2125" w:type="dxa"/>
            <w:tcBorders>
              <w:top w:val="single" w:color="auto" w:sz="4" w:space="0"/>
              <w:left w:val="single" w:color="auto" w:sz="4" w:space="0"/>
              <w:bottom w:val="single" w:color="auto" w:sz="4" w:space="0"/>
              <w:right w:val="single" w:color="auto" w:sz="4" w:space="0"/>
            </w:tcBorders>
            <w:vAlign w:val="center"/>
          </w:tcPr>
          <w:p w14:paraId="63C87C1B">
            <w:pPr>
              <w:autoSpaceDE w:val="0"/>
              <w:autoSpaceDN w:val="0"/>
              <w:adjustRightInd w:val="0"/>
              <w:jc w:val="center"/>
              <w:rPr>
                <w:rFonts w:asciiTheme="minorEastAsia" w:hAnsiTheme="minorEastAsia" w:eastAsiaTheme="minorEastAsia"/>
                <w:color w:val="000000" w:themeColor="text1"/>
                <w:kern w:val="0"/>
                <w:sz w:val="24"/>
                <w:szCs w:val="24"/>
                <w14:textFill>
                  <w14:solidFill>
                    <w14:schemeClr w14:val="tx1"/>
                  </w14:solidFill>
                </w14:textFill>
              </w:rPr>
            </w:pPr>
          </w:p>
        </w:tc>
        <w:tc>
          <w:tcPr>
            <w:tcW w:w="1133" w:type="dxa"/>
            <w:tcBorders>
              <w:top w:val="single" w:color="auto" w:sz="4" w:space="0"/>
              <w:left w:val="single" w:color="auto" w:sz="4" w:space="0"/>
              <w:bottom w:val="single" w:color="auto" w:sz="4" w:space="0"/>
              <w:right w:val="single" w:color="auto" w:sz="4" w:space="0"/>
            </w:tcBorders>
            <w:vAlign w:val="center"/>
          </w:tcPr>
          <w:p w14:paraId="043FF92A">
            <w:pPr>
              <w:autoSpaceDE w:val="0"/>
              <w:autoSpaceDN w:val="0"/>
              <w:adjustRightInd w:val="0"/>
              <w:jc w:val="center"/>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数量</w:t>
            </w:r>
          </w:p>
        </w:tc>
        <w:tc>
          <w:tcPr>
            <w:tcW w:w="3548" w:type="dxa"/>
            <w:tcBorders>
              <w:top w:val="single" w:color="auto" w:sz="4" w:space="0"/>
              <w:left w:val="single" w:color="auto" w:sz="4" w:space="0"/>
              <w:bottom w:val="single" w:color="auto" w:sz="4" w:space="0"/>
              <w:right w:val="single" w:color="auto" w:sz="4" w:space="0"/>
            </w:tcBorders>
            <w:vAlign w:val="center"/>
          </w:tcPr>
          <w:p w14:paraId="471E1503">
            <w:pPr>
              <w:autoSpaceDE w:val="0"/>
              <w:autoSpaceDN w:val="0"/>
              <w:adjustRightInd w:val="0"/>
              <w:jc w:val="center"/>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3706.93吨</w:t>
            </w:r>
          </w:p>
        </w:tc>
      </w:tr>
      <w:tr w14:paraId="17649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573" w:type="dxa"/>
            <w:tcBorders>
              <w:top w:val="single" w:color="auto" w:sz="4" w:space="0"/>
              <w:left w:val="single" w:color="auto" w:sz="4" w:space="0"/>
              <w:bottom w:val="single" w:color="auto" w:sz="4" w:space="0"/>
              <w:right w:val="single" w:color="auto" w:sz="4" w:space="0"/>
            </w:tcBorders>
            <w:vAlign w:val="center"/>
          </w:tcPr>
          <w:p w14:paraId="6D5067CD">
            <w:pPr>
              <w:autoSpaceDE w:val="0"/>
              <w:autoSpaceDN w:val="0"/>
              <w:adjustRightInd w:val="0"/>
              <w:jc w:val="center"/>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品种</w:t>
            </w:r>
          </w:p>
        </w:tc>
        <w:tc>
          <w:tcPr>
            <w:tcW w:w="2125" w:type="dxa"/>
            <w:tcBorders>
              <w:top w:val="single" w:color="auto" w:sz="4" w:space="0"/>
              <w:left w:val="single" w:color="auto" w:sz="4" w:space="0"/>
              <w:bottom w:val="single" w:color="auto" w:sz="4" w:space="0"/>
              <w:right w:val="single" w:color="auto" w:sz="4" w:space="0"/>
            </w:tcBorders>
            <w:vAlign w:val="center"/>
          </w:tcPr>
          <w:p w14:paraId="0881C1D4">
            <w:pPr>
              <w:autoSpaceDE w:val="0"/>
              <w:autoSpaceDN w:val="0"/>
              <w:adjustRightInd w:val="0"/>
              <w:spacing w:line="240" w:lineRule="exact"/>
              <w:jc w:val="center"/>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早籼稻谷</w:t>
            </w:r>
          </w:p>
        </w:tc>
        <w:tc>
          <w:tcPr>
            <w:tcW w:w="1133" w:type="dxa"/>
            <w:tcBorders>
              <w:top w:val="single" w:color="auto" w:sz="4" w:space="0"/>
              <w:left w:val="single" w:color="auto" w:sz="4" w:space="0"/>
              <w:bottom w:val="single" w:color="auto" w:sz="4" w:space="0"/>
              <w:right w:val="single" w:color="auto" w:sz="4" w:space="0"/>
            </w:tcBorders>
            <w:vAlign w:val="center"/>
          </w:tcPr>
          <w:p w14:paraId="20476D23">
            <w:pPr>
              <w:autoSpaceDE w:val="0"/>
              <w:autoSpaceDN w:val="0"/>
              <w:adjustRightInd w:val="0"/>
              <w:spacing w:line="240" w:lineRule="exact"/>
              <w:jc w:val="center"/>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单价</w:t>
            </w:r>
          </w:p>
        </w:tc>
        <w:tc>
          <w:tcPr>
            <w:tcW w:w="3548" w:type="dxa"/>
            <w:tcBorders>
              <w:top w:val="single" w:color="auto" w:sz="4" w:space="0"/>
              <w:left w:val="single" w:color="auto" w:sz="4" w:space="0"/>
              <w:bottom w:val="single" w:color="auto" w:sz="4" w:space="0"/>
              <w:right w:val="single" w:color="auto" w:sz="4" w:space="0"/>
            </w:tcBorders>
            <w:vAlign w:val="center"/>
          </w:tcPr>
          <w:p w14:paraId="217E5B21">
            <w:pPr>
              <w:autoSpaceDE w:val="0"/>
              <w:autoSpaceDN w:val="0"/>
              <w:adjustRightInd w:val="0"/>
              <w:spacing w:line="240" w:lineRule="exact"/>
              <w:jc w:val="center"/>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lang w:val="en-US" w:eastAsia="zh-CN"/>
                <w14:textFill>
                  <w14:solidFill>
                    <w14:schemeClr w14:val="tx1"/>
                  </w14:solidFill>
                </w14:textFill>
              </w:rPr>
              <w:t>XXX</w:t>
            </w:r>
            <w:r>
              <w:rPr>
                <w:rFonts w:hint="eastAsia" w:asciiTheme="minorEastAsia" w:hAnsiTheme="minorEastAsia" w:eastAsiaTheme="minorEastAsia"/>
                <w:color w:val="000000" w:themeColor="text1"/>
                <w:kern w:val="0"/>
                <w:sz w:val="24"/>
                <w:szCs w:val="24"/>
                <w14:textFill>
                  <w14:solidFill>
                    <w14:schemeClr w14:val="tx1"/>
                  </w14:solidFill>
                </w14:textFill>
              </w:rPr>
              <w:t>元/吨</w:t>
            </w:r>
          </w:p>
        </w:tc>
      </w:tr>
      <w:tr w14:paraId="4B11F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573" w:type="dxa"/>
            <w:tcBorders>
              <w:top w:val="single" w:color="auto" w:sz="4" w:space="0"/>
              <w:left w:val="single" w:color="auto" w:sz="4" w:space="0"/>
              <w:bottom w:val="single" w:color="auto" w:sz="4" w:space="0"/>
              <w:right w:val="single" w:color="auto" w:sz="4" w:space="0"/>
            </w:tcBorders>
            <w:vAlign w:val="center"/>
          </w:tcPr>
          <w:p w14:paraId="53371D01">
            <w:pPr>
              <w:autoSpaceDE w:val="0"/>
              <w:autoSpaceDN w:val="0"/>
              <w:adjustRightInd w:val="0"/>
              <w:jc w:val="center"/>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生产年度</w:t>
            </w:r>
          </w:p>
        </w:tc>
        <w:tc>
          <w:tcPr>
            <w:tcW w:w="2125" w:type="dxa"/>
            <w:tcBorders>
              <w:top w:val="single" w:color="auto" w:sz="4" w:space="0"/>
              <w:left w:val="single" w:color="auto" w:sz="4" w:space="0"/>
              <w:bottom w:val="single" w:color="auto" w:sz="4" w:space="0"/>
              <w:right w:val="single" w:color="auto" w:sz="4" w:space="0"/>
            </w:tcBorders>
            <w:vAlign w:val="center"/>
          </w:tcPr>
          <w:p w14:paraId="5F70C304">
            <w:pPr>
              <w:autoSpaceDE w:val="0"/>
              <w:autoSpaceDN w:val="0"/>
              <w:adjustRightInd w:val="0"/>
              <w:spacing w:line="240" w:lineRule="exact"/>
              <w:jc w:val="center"/>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2025年</w:t>
            </w:r>
          </w:p>
        </w:tc>
        <w:tc>
          <w:tcPr>
            <w:tcW w:w="1133" w:type="dxa"/>
            <w:tcBorders>
              <w:top w:val="single" w:color="auto" w:sz="4" w:space="0"/>
              <w:left w:val="single" w:color="auto" w:sz="4" w:space="0"/>
              <w:bottom w:val="single" w:color="auto" w:sz="4" w:space="0"/>
              <w:right w:val="single" w:color="auto" w:sz="4" w:space="0"/>
            </w:tcBorders>
            <w:vAlign w:val="center"/>
          </w:tcPr>
          <w:p w14:paraId="647C3DBC">
            <w:pPr>
              <w:autoSpaceDE w:val="0"/>
              <w:autoSpaceDN w:val="0"/>
              <w:adjustRightInd w:val="0"/>
              <w:spacing w:line="240" w:lineRule="exact"/>
              <w:jc w:val="center"/>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产地</w:t>
            </w:r>
          </w:p>
        </w:tc>
        <w:tc>
          <w:tcPr>
            <w:tcW w:w="3548" w:type="dxa"/>
            <w:tcBorders>
              <w:top w:val="single" w:color="auto" w:sz="4" w:space="0"/>
              <w:left w:val="single" w:color="auto" w:sz="4" w:space="0"/>
              <w:bottom w:val="single" w:color="auto" w:sz="4" w:space="0"/>
              <w:right w:val="single" w:color="auto" w:sz="4" w:space="0"/>
            </w:tcBorders>
            <w:vAlign w:val="center"/>
          </w:tcPr>
          <w:p w14:paraId="4D9334E8">
            <w:pPr>
              <w:autoSpaceDE w:val="0"/>
              <w:autoSpaceDN w:val="0"/>
              <w:adjustRightInd w:val="0"/>
              <w:spacing w:line="240" w:lineRule="exact"/>
              <w:jc w:val="center"/>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本地、广东及临近省份</w:t>
            </w:r>
          </w:p>
        </w:tc>
      </w:tr>
      <w:tr w14:paraId="274C0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573" w:type="dxa"/>
            <w:tcBorders>
              <w:top w:val="single" w:color="auto" w:sz="4" w:space="0"/>
              <w:left w:val="single" w:color="auto" w:sz="4" w:space="0"/>
              <w:bottom w:val="single" w:color="auto" w:sz="4" w:space="0"/>
              <w:right w:val="single" w:color="auto" w:sz="4" w:space="0"/>
            </w:tcBorders>
            <w:vAlign w:val="center"/>
          </w:tcPr>
          <w:p w14:paraId="24ECCD48">
            <w:pPr>
              <w:autoSpaceDE w:val="0"/>
              <w:autoSpaceDN w:val="0"/>
              <w:adjustRightInd w:val="0"/>
              <w:ind w:firstLine="482" w:firstLineChars="200"/>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等级</w:t>
            </w:r>
          </w:p>
        </w:tc>
        <w:tc>
          <w:tcPr>
            <w:tcW w:w="2125" w:type="dxa"/>
            <w:tcBorders>
              <w:top w:val="single" w:color="auto" w:sz="4" w:space="0"/>
              <w:left w:val="single" w:color="auto" w:sz="4" w:space="0"/>
              <w:bottom w:val="single" w:color="auto" w:sz="4" w:space="0"/>
              <w:right w:val="single" w:color="auto" w:sz="4" w:space="0"/>
            </w:tcBorders>
            <w:vAlign w:val="center"/>
          </w:tcPr>
          <w:p w14:paraId="0B0AEC91">
            <w:pPr>
              <w:autoSpaceDE w:val="0"/>
              <w:autoSpaceDN w:val="0"/>
              <w:adjustRightInd w:val="0"/>
              <w:spacing w:line="240" w:lineRule="exact"/>
              <w:jc w:val="center"/>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三级</w:t>
            </w:r>
          </w:p>
        </w:tc>
        <w:tc>
          <w:tcPr>
            <w:tcW w:w="1133" w:type="dxa"/>
            <w:tcBorders>
              <w:top w:val="single" w:color="auto" w:sz="4" w:space="0"/>
              <w:left w:val="single" w:color="auto" w:sz="4" w:space="0"/>
              <w:bottom w:val="single" w:color="auto" w:sz="4" w:space="0"/>
              <w:right w:val="single" w:color="auto" w:sz="4" w:space="0"/>
            </w:tcBorders>
            <w:vAlign w:val="center"/>
          </w:tcPr>
          <w:p w14:paraId="0190000E">
            <w:pPr>
              <w:autoSpaceDE w:val="0"/>
              <w:autoSpaceDN w:val="0"/>
              <w:adjustRightInd w:val="0"/>
              <w:spacing w:line="240" w:lineRule="exact"/>
              <w:jc w:val="center"/>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包装</w:t>
            </w:r>
          </w:p>
        </w:tc>
        <w:tc>
          <w:tcPr>
            <w:tcW w:w="3548" w:type="dxa"/>
            <w:tcBorders>
              <w:top w:val="single" w:color="auto" w:sz="4" w:space="0"/>
              <w:left w:val="single" w:color="auto" w:sz="4" w:space="0"/>
              <w:bottom w:val="single" w:color="auto" w:sz="4" w:space="0"/>
              <w:right w:val="single" w:color="auto" w:sz="4" w:space="0"/>
            </w:tcBorders>
            <w:vAlign w:val="center"/>
          </w:tcPr>
          <w:p w14:paraId="1AE87028">
            <w:pPr>
              <w:autoSpaceDE w:val="0"/>
              <w:autoSpaceDN w:val="0"/>
              <w:adjustRightInd w:val="0"/>
              <w:spacing w:line="240" w:lineRule="exact"/>
              <w:jc w:val="center"/>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散装</w:t>
            </w:r>
          </w:p>
        </w:tc>
      </w:tr>
      <w:tr w14:paraId="198AB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573" w:type="dxa"/>
            <w:tcBorders>
              <w:top w:val="single" w:color="auto" w:sz="4" w:space="0"/>
              <w:left w:val="single" w:color="auto" w:sz="4" w:space="0"/>
              <w:bottom w:val="single" w:color="auto" w:sz="4" w:space="0"/>
              <w:right w:val="single" w:color="auto" w:sz="4" w:space="0"/>
            </w:tcBorders>
            <w:vAlign w:val="center"/>
          </w:tcPr>
          <w:p w14:paraId="445C359A">
            <w:pPr>
              <w:autoSpaceDE w:val="0"/>
              <w:autoSpaceDN w:val="0"/>
              <w:adjustRightInd w:val="0"/>
              <w:jc w:val="center"/>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总金额</w:t>
            </w:r>
          </w:p>
        </w:tc>
        <w:tc>
          <w:tcPr>
            <w:tcW w:w="6806" w:type="dxa"/>
            <w:gridSpan w:val="3"/>
            <w:tcBorders>
              <w:top w:val="single" w:color="auto" w:sz="4" w:space="0"/>
              <w:left w:val="single" w:color="auto" w:sz="4" w:space="0"/>
              <w:bottom w:val="single" w:color="auto" w:sz="4" w:space="0"/>
              <w:right w:val="single" w:color="auto" w:sz="4" w:space="0"/>
            </w:tcBorders>
            <w:vAlign w:val="center"/>
          </w:tcPr>
          <w:p w14:paraId="591F1FC4">
            <w:pPr>
              <w:autoSpaceDE w:val="0"/>
              <w:autoSpaceDN w:val="0"/>
              <w:adjustRightInd w:val="0"/>
              <w:spacing w:line="240" w:lineRule="exact"/>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lang w:val="en-US" w:eastAsia="zh-CN"/>
                <w14:textFill>
                  <w14:solidFill>
                    <w14:schemeClr w14:val="tx1"/>
                  </w14:solidFill>
                </w14:textFill>
              </w:rPr>
              <w:t>XXXXXX</w:t>
            </w:r>
            <w:r>
              <w:rPr>
                <w:rFonts w:hint="eastAsia" w:asciiTheme="minorEastAsia" w:hAnsiTheme="minorEastAsia" w:eastAsiaTheme="minorEastAsia"/>
                <w:color w:val="000000" w:themeColor="text1"/>
                <w:kern w:val="0"/>
                <w:sz w:val="24"/>
                <w:szCs w:val="24"/>
                <w14:textFill>
                  <w14:solidFill>
                    <w14:schemeClr w14:val="tx1"/>
                  </w14:solidFill>
                </w14:textFill>
              </w:rPr>
              <w:t>元</w:t>
            </w:r>
          </w:p>
        </w:tc>
      </w:tr>
      <w:tr w14:paraId="1D001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573" w:type="dxa"/>
            <w:tcBorders>
              <w:top w:val="single" w:color="auto" w:sz="4" w:space="0"/>
              <w:left w:val="single" w:color="auto" w:sz="4" w:space="0"/>
              <w:bottom w:val="single" w:color="auto" w:sz="4" w:space="0"/>
              <w:right w:val="single" w:color="auto" w:sz="4" w:space="0"/>
            </w:tcBorders>
            <w:vAlign w:val="center"/>
          </w:tcPr>
          <w:p w14:paraId="237E5C84">
            <w:pPr>
              <w:autoSpaceDE w:val="0"/>
              <w:autoSpaceDN w:val="0"/>
              <w:adjustRightInd w:val="0"/>
              <w:jc w:val="center"/>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交货方式</w:t>
            </w:r>
          </w:p>
        </w:tc>
        <w:tc>
          <w:tcPr>
            <w:tcW w:w="6806" w:type="dxa"/>
            <w:gridSpan w:val="3"/>
            <w:tcBorders>
              <w:top w:val="single" w:color="auto" w:sz="4" w:space="0"/>
              <w:left w:val="single" w:color="auto" w:sz="4" w:space="0"/>
              <w:bottom w:val="single" w:color="auto" w:sz="4" w:space="0"/>
              <w:right w:val="single" w:color="auto" w:sz="4" w:space="0"/>
            </w:tcBorders>
            <w:vAlign w:val="center"/>
          </w:tcPr>
          <w:p w14:paraId="5515FFE7">
            <w:pPr>
              <w:autoSpaceDE w:val="0"/>
              <w:autoSpaceDN w:val="0"/>
              <w:adjustRightInd w:val="0"/>
              <w:spacing w:line="240" w:lineRule="exact"/>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进仓堆好平整后交货</w:t>
            </w:r>
          </w:p>
        </w:tc>
      </w:tr>
      <w:tr w14:paraId="5BC34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573" w:type="dxa"/>
            <w:tcBorders>
              <w:top w:val="single" w:color="auto" w:sz="4" w:space="0"/>
              <w:left w:val="single" w:color="auto" w:sz="4" w:space="0"/>
              <w:bottom w:val="single" w:color="auto" w:sz="4" w:space="0"/>
              <w:right w:val="single" w:color="auto" w:sz="4" w:space="0"/>
            </w:tcBorders>
          </w:tcPr>
          <w:p w14:paraId="201309D8">
            <w:pPr>
              <w:autoSpaceDE w:val="0"/>
              <w:autoSpaceDN w:val="0"/>
              <w:adjustRightInd w:val="0"/>
              <w:jc w:val="center"/>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交货期限</w:t>
            </w:r>
          </w:p>
        </w:tc>
        <w:tc>
          <w:tcPr>
            <w:tcW w:w="6806" w:type="dxa"/>
            <w:gridSpan w:val="3"/>
            <w:tcBorders>
              <w:top w:val="single" w:color="auto" w:sz="4" w:space="0"/>
              <w:left w:val="single" w:color="auto" w:sz="4" w:space="0"/>
              <w:bottom w:val="single" w:color="auto" w:sz="4" w:space="0"/>
              <w:right w:val="single" w:color="auto" w:sz="4" w:space="0"/>
            </w:tcBorders>
            <w:vAlign w:val="center"/>
          </w:tcPr>
          <w:p w14:paraId="32A6548C">
            <w:pPr>
              <w:autoSpaceDE w:val="0"/>
              <w:autoSpaceDN w:val="0"/>
              <w:adjustRightInd w:val="0"/>
              <w:spacing w:line="240" w:lineRule="exact"/>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2025年9月6日至2025年10月30日</w:t>
            </w:r>
          </w:p>
        </w:tc>
      </w:tr>
      <w:tr w14:paraId="3FD34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5" w:hRule="atLeast"/>
          <w:jc w:val="center"/>
        </w:trPr>
        <w:tc>
          <w:tcPr>
            <w:tcW w:w="1573" w:type="dxa"/>
            <w:tcBorders>
              <w:top w:val="single" w:color="auto" w:sz="4" w:space="0"/>
              <w:left w:val="single" w:color="auto" w:sz="4" w:space="0"/>
              <w:bottom w:val="single" w:color="auto" w:sz="4" w:space="0"/>
              <w:right w:val="single" w:color="auto" w:sz="4" w:space="0"/>
            </w:tcBorders>
          </w:tcPr>
          <w:p w14:paraId="7986556F">
            <w:pPr>
              <w:autoSpaceDE w:val="0"/>
              <w:autoSpaceDN w:val="0"/>
              <w:adjustRightInd w:val="0"/>
              <w:jc w:val="center"/>
              <w:rPr>
                <w:rFonts w:asciiTheme="minorEastAsia" w:hAnsiTheme="minorEastAsia" w:eastAsia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存放地点</w:t>
            </w:r>
          </w:p>
        </w:tc>
        <w:tc>
          <w:tcPr>
            <w:tcW w:w="6806" w:type="dxa"/>
            <w:gridSpan w:val="3"/>
            <w:tcBorders>
              <w:top w:val="single" w:color="auto" w:sz="4" w:space="0"/>
              <w:left w:val="single" w:color="auto" w:sz="4" w:space="0"/>
              <w:bottom w:val="single" w:color="auto" w:sz="4" w:space="0"/>
              <w:right w:val="single" w:color="auto" w:sz="4" w:space="0"/>
            </w:tcBorders>
            <w:vAlign w:val="center"/>
          </w:tcPr>
          <w:p w14:paraId="222FF7E7">
            <w:pPr>
              <w:autoSpaceDE w:val="0"/>
              <w:autoSpaceDN w:val="0"/>
              <w:adjustRightInd w:val="0"/>
              <w:spacing w:line="240" w:lineRule="exact"/>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红岗粮库P1-2.3.4格、P2、P5、P8-西格</w:t>
            </w:r>
          </w:p>
        </w:tc>
      </w:tr>
      <w:tr w14:paraId="217C1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0" w:hRule="atLeast"/>
          <w:jc w:val="center"/>
        </w:trPr>
        <w:tc>
          <w:tcPr>
            <w:tcW w:w="8379" w:type="dxa"/>
            <w:gridSpan w:val="4"/>
            <w:tcBorders>
              <w:top w:val="single" w:color="auto" w:sz="4" w:space="0"/>
              <w:left w:val="single" w:color="auto" w:sz="4" w:space="0"/>
              <w:bottom w:val="single" w:color="auto" w:sz="4" w:space="0"/>
              <w:right w:val="single" w:color="auto" w:sz="4" w:space="0"/>
            </w:tcBorders>
            <w:vAlign w:val="center"/>
          </w:tcPr>
          <w:p w14:paraId="0AEAEA4E">
            <w:pPr>
              <w:tabs>
                <w:tab w:val="left" w:pos="5823"/>
              </w:tabs>
              <w:autoSpaceDE w:val="0"/>
              <w:autoSpaceDN w:val="0"/>
              <w:adjustRightInd w:val="0"/>
              <w:spacing w:line="300" w:lineRule="exact"/>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质量标准：执行GB1350-2009三级（含三级）稻谷以上标准，质量检测主要指标达到：出糙率≥75.0%、整精米率≥44.0%、杂质≤1.0%、水分≤13.5%、黄粒米≤1.0%、脂肪酸值≤19.5mgKOH/100g。色泽气味正常，无虫害，符合国家粮食卫生标准，其中要求镉≤0.2mg∕kg。拒收泥谷、水浸谷、生芽谷。</w:t>
            </w:r>
          </w:p>
        </w:tc>
      </w:tr>
    </w:tbl>
    <w:p w14:paraId="17168FDD">
      <w:pPr>
        <w:autoSpaceDE w:val="0"/>
        <w:autoSpaceDN w:val="0"/>
        <w:adjustRightInd w:val="0"/>
        <w:snapToGrid w:val="0"/>
        <w:spacing w:line="380" w:lineRule="atLeast"/>
        <w:ind w:firstLine="482" w:firstLineChars="20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b/>
          <w:bCs/>
          <w:color w:val="000000" w:themeColor="text1"/>
          <w:kern w:val="0"/>
          <w:sz w:val="24"/>
          <w:szCs w:val="24"/>
          <w14:textFill>
            <w14:solidFill>
              <w14:schemeClr w14:val="tx1"/>
            </w14:solidFill>
          </w14:textFill>
        </w:rPr>
        <w:t>二、产地要求：</w:t>
      </w:r>
      <w:r>
        <w:rPr>
          <w:rFonts w:hint="eastAsia" w:asciiTheme="minorEastAsia" w:hAnsiTheme="minorEastAsia" w:eastAsiaTheme="minorEastAsia"/>
          <w:color w:val="000000" w:themeColor="text1"/>
          <w:sz w:val="24"/>
          <w:szCs w:val="24"/>
          <w14:textFill>
            <w14:solidFill>
              <w14:schemeClr w14:val="tx1"/>
            </w14:solidFill>
          </w14:textFill>
        </w:rPr>
        <w:t>蕉岭县本地粮为主，不足部分可在广东及邻近省份采购</w:t>
      </w:r>
      <w:r>
        <w:rPr>
          <w:rFonts w:hint="eastAsia" w:asciiTheme="minorEastAsia" w:hAnsiTheme="minorEastAsia" w:eastAsiaTheme="minorEastAsia"/>
          <w:color w:val="000000" w:themeColor="text1"/>
          <w:kern w:val="0"/>
          <w:sz w:val="24"/>
          <w:szCs w:val="24"/>
          <w14:textFill>
            <w14:solidFill>
              <w14:schemeClr w14:val="tx1"/>
            </w14:solidFill>
          </w14:textFill>
        </w:rPr>
        <w:t>。</w:t>
      </w:r>
    </w:p>
    <w:p w14:paraId="4A0C7434">
      <w:pPr>
        <w:autoSpaceDE w:val="0"/>
        <w:autoSpaceDN w:val="0"/>
        <w:adjustRightInd w:val="0"/>
        <w:spacing w:line="320" w:lineRule="exact"/>
        <w:ind w:firstLine="482" w:firstLineChars="200"/>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b/>
          <w:color w:val="000000" w:themeColor="text1"/>
          <w:kern w:val="0"/>
          <w:sz w:val="24"/>
          <w:szCs w:val="24"/>
          <w14:textFill>
            <w14:solidFill>
              <w14:schemeClr w14:val="tx1"/>
            </w14:solidFill>
          </w14:textFill>
        </w:rPr>
        <w:t>三、验收交货方式</w:t>
      </w:r>
      <w:r>
        <w:rPr>
          <w:rFonts w:hint="eastAsia" w:asciiTheme="minorEastAsia" w:hAnsiTheme="minorEastAsia" w:eastAsiaTheme="minorEastAsia"/>
          <w:color w:val="000000" w:themeColor="text1"/>
          <w:kern w:val="0"/>
          <w:sz w:val="24"/>
          <w:szCs w:val="24"/>
          <w14:textFill>
            <w14:solidFill>
              <w14:schemeClr w14:val="tx1"/>
            </w14:solidFill>
          </w14:textFill>
        </w:rPr>
        <w:t>：买方按国家规定的粮食检验办法和操作规程进行初检（一车一检），检验合格后以本库计量工具进行过磅验斤，在指定仓库除杂后入库，杂质回皮，买方出具入库凭证。如入库粮食初检质量不符合本合同约定的质量标准</w:t>
      </w:r>
      <w:r>
        <w:rPr>
          <w:rFonts w:hint="eastAsia" w:asciiTheme="minorEastAsia" w:hAnsiTheme="minorEastAsia" w:eastAsiaTheme="minorEastAsia"/>
          <w:color w:val="000000" w:themeColor="text1"/>
          <w:sz w:val="24"/>
          <w:szCs w:val="24"/>
          <w14:textFill>
            <w14:solidFill>
              <w14:schemeClr w14:val="tx1"/>
            </w14:solidFill>
          </w14:textFill>
        </w:rPr>
        <w:t>或发现混有其它生产年份的稻谷，</w:t>
      </w:r>
      <w:bookmarkStart w:id="0" w:name="OLE_LINK2"/>
      <w:bookmarkStart w:id="1" w:name="OLE_LINK1"/>
      <w:r>
        <w:rPr>
          <w:rFonts w:hint="eastAsia" w:asciiTheme="minorEastAsia" w:hAnsiTheme="minorEastAsia" w:eastAsiaTheme="minorEastAsia"/>
          <w:color w:val="000000" w:themeColor="text1"/>
          <w:kern w:val="0"/>
          <w:sz w:val="24"/>
          <w:szCs w:val="24"/>
          <w14:textFill>
            <w14:solidFill>
              <w14:schemeClr w14:val="tx1"/>
            </w14:solidFill>
          </w14:textFill>
        </w:rPr>
        <w:t>买方有权不予接收</w:t>
      </w:r>
      <w:bookmarkEnd w:id="0"/>
      <w:bookmarkEnd w:id="1"/>
      <w:r>
        <w:rPr>
          <w:rFonts w:hint="eastAsia" w:asciiTheme="minorEastAsia" w:hAnsiTheme="minorEastAsia" w:eastAsiaTheme="minorEastAsia"/>
          <w:color w:val="000000" w:themeColor="text1"/>
          <w:kern w:val="0"/>
          <w:sz w:val="24"/>
          <w:szCs w:val="24"/>
          <w14:textFill>
            <w14:solidFill>
              <w14:schemeClr w14:val="tx1"/>
            </w14:solidFill>
          </w14:textFill>
        </w:rPr>
        <w:t>，由卖方自行处理并承担所发生的一切费用。卖方严禁将走私农产品流入国家粮食储备体系，一经发现将对违法违规企业由有关部门作出严肃处理。卖方需向买方提供《粮食质量安全信用承诺书》。</w:t>
      </w:r>
    </w:p>
    <w:p w14:paraId="09471171">
      <w:pPr>
        <w:autoSpaceDE w:val="0"/>
        <w:autoSpaceDN w:val="0"/>
        <w:adjustRightInd w:val="0"/>
        <w:spacing w:line="320" w:lineRule="exact"/>
        <w:ind w:firstLine="480" w:firstLineChars="20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买方入库初检结果不作为验收依据，待全部货物入库后由买方委托有资质的第三方检测机构进行质量检验，检验合格后，双方签署《实物交割单》，质检费用由买方承担。如经第三方终检结果不符合规定的，货物由双方协商处理，费用由卖方负责；镉含量指标检测不合格的，买方一律退货，由此产生的一切责任和费用概由卖方负责。</w:t>
      </w:r>
    </w:p>
    <w:p w14:paraId="70AF5900">
      <w:pPr>
        <w:autoSpaceDE w:val="0"/>
        <w:autoSpaceDN w:val="0"/>
        <w:adjustRightInd w:val="0"/>
        <w:spacing w:line="276" w:lineRule="auto"/>
        <w:ind w:firstLine="482" w:firstLineChars="20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b/>
          <w:color w:val="000000" w:themeColor="text1"/>
          <w:kern w:val="0"/>
          <w:sz w:val="24"/>
          <w:szCs w:val="24"/>
          <w14:textFill>
            <w14:solidFill>
              <w14:schemeClr w14:val="tx1"/>
            </w14:solidFill>
          </w14:textFill>
        </w:rPr>
        <w:t>四、费用承担：</w:t>
      </w:r>
      <w:r>
        <w:rPr>
          <w:rFonts w:hint="eastAsia" w:asciiTheme="minorEastAsia" w:hAnsiTheme="minorEastAsia" w:eastAsiaTheme="minorEastAsia"/>
          <w:color w:val="000000" w:themeColor="text1"/>
          <w:kern w:val="0"/>
          <w:sz w:val="24"/>
          <w:szCs w:val="24"/>
          <w14:textFill>
            <w14:solidFill>
              <w14:schemeClr w14:val="tx1"/>
            </w14:solidFill>
          </w14:textFill>
        </w:rPr>
        <w:t>卖方承担交货前的一切费用，包括运费、搬运装卸、仓内平整粮面等费用，买方不承担任何费用。买方向卖方收取20元/吨的入仓服务费（含过磅费、设备使用</w:t>
      </w:r>
      <w:r>
        <w:rPr>
          <w:rFonts w:hint="eastAsia" w:asciiTheme="minorEastAsia" w:hAnsiTheme="minorEastAsia" w:eastAsiaTheme="minorEastAsia"/>
          <w:color w:val="000000" w:themeColor="text1"/>
          <w:sz w:val="24"/>
          <w:szCs w:val="24"/>
          <w14:textFill>
            <w14:solidFill>
              <w14:schemeClr w14:val="tx1"/>
            </w14:solidFill>
          </w14:textFill>
        </w:rPr>
        <w:t>费</w:t>
      </w:r>
      <w:r>
        <w:rPr>
          <w:rFonts w:hint="eastAsia" w:asciiTheme="minorEastAsia" w:hAnsiTheme="minorEastAsia" w:eastAsiaTheme="minorEastAsia"/>
          <w:color w:val="000000" w:themeColor="text1"/>
          <w:kern w:val="0"/>
          <w:sz w:val="24"/>
          <w:szCs w:val="24"/>
          <w14:textFill>
            <w14:solidFill>
              <w14:schemeClr w14:val="tx1"/>
            </w14:solidFill>
          </w14:textFill>
        </w:rPr>
        <w:t>等）。</w:t>
      </w:r>
    </w:p>
    <w:p w14:paraId="124E5669">
      <w:pPr>
        <w:autoSpaceDE w:val="0"/>
        <w:autoSpaceDN w:val="0"/>
        <w:adjustRightInd w:val="0"/>
        <w:spacing w:line="320" w:lineRule="exact"/>
        <w:ind w:firstLine="482" w:firstLineChars="20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五、货款结算：</w:t>
      </w:r>
      <w:r>
        <w:rPr>
          <w:rFonts w:hint="eastAsia" w:asciiTheme="minorEastAsia" w:hAnsiTheme="minorEastAsia" w:eastAsiaTheme="minorEastAsia"/>
          <w:color w:val="000000" w:themeColor="text1"/>
          <w:kern w:val="0"/>
          <w:sz w:val="24"/>
          <w:szCs w:val="24"/>
          <w14:textFill>
            <w14:solidFill>
              <w14:schemeClr w14:val="tx1"/>
            </w14:solidFill>
          </w14:textFill>
        </w:rPr>
        <w:t>采用分段付款方式，粮食运到指定仓库并验收入库后，累计达500吨为结算起点，以后每500吨结算一次。粮食入库任务完成付总货款额80%，剩余20%待第三方质检机构对入库粮食质量抽检合格，经县粮食行政管理部门和县财政局验收确认后付清。</w:t>
      </w:r>
    </w:p>
    <w:p w14:paraId="4CE3B1C6">
      <w:pPr>
        <w:autoSpaceDE w:val="0"/>
        <w:autoSpaceDN w:val="0"/>
        <w:adjustRightInd w:val="0"/>
        <w:spacing w:line="320" w:lineRule="exact"/>
        <w:ind w:firstLine="482" w:firstLineChars="20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b/>
          <w:color w:val="000000" w:themeColor="text1"/>
          <w:kern w:val="0"/>
          <w:sz w:val="24"/>
          <w:szCs w:val="24"/>
          <w14:textFill>
            <w14:solidFill>
              <w14:schemeClr w14:val="tx1"/>
            </w14:solidFill>
          </w14:textFill>
        </w:rPr>
        <w:t>六、结算凭证：</w:t>
      </w:r>
      <w:r>
        <w:rPr>
          <w:rFonts w:hint="eastAsia" w:asciiTheme="minorEastAsia" w:hAnsiTheme="minorEastAsia" w:eastAsiaTheme="minorEastAsia"/>
          <w:color w:val="000000" w:themeColor="text1"/>
          <w:kern w:val="0"/>
          <w:sz w:val="24"/>
          <w:szCs w:val="24"/>
          <w14:textFill>
            <w14:solidFill>
              <w14:schemeClr w14:val="tx1"/>
            </w14:solidFill>
          </w14:textFill>
        </w:rPr>
        <w:t>卖方提供本单位开出的有效货物销售增值税发票。</w:t>
      </w:r>
    </w:p>
    <w:p w14:paraId="2D3D1FE3">
      <w:pPr>
        <w:autoSpaceDE w:val="0"/>
        <w:autoSpaceDN w:val="0"/>
        <w:adjustRightInd w:val="0"/>
        <w:spacing w:line="320" w:lineRule="exact"/>
        <w:ind w:firstLine="482" w:firstLineChars="200"/>
        <w:rPr>
          <w:rFonts w:asciiTheme="minorEastAsia" w:hAnsiTheme="minorEastAsia" w:eastAsiaTheme="minorEastAsia"/>
          <w:b/>
          <w:color w:val="000000" w:themeColor="text1"/>
          <w:kern w:val="0"/>
          <w:sz w:val="24"/>
          <w:szCs w:val="24"/>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七、其他事项：</w:t>
      </w:r>
    </w:p>
    <w:p w14:paraId="5461F7BD">
      <w:pPr>
        <w:spacing w:line="320" w:lineRule="exact"/>
        <w:ind w:firstLine="480" w:firstLineChars="20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1、卖方必须提供产粮地的有效质检证明。</w:t>
      </w:r>
    </w:p>
    <w:p w14:paraId="5CE95E01">
      <w:pPr>
        <w:spacing w:line="320" w:lineRule="exact"/>
        <w:ind w:firstLine="480" w:firstLineChars="20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2、卖方在进库作业过程中要负责做好安全生产工作，</w:t>
      </w:r>
      <w:r>
        <w:rPr>
          <w:rFonts w:hint="eastAsia" w:asciiTheme="minorEastAsia" w:hAnsiTheme="minorEastAsia" w:eastAsiaTheme="minorEastAsia"/>
          <w:color w:val="000000" w:themeColor="text1"/>
          <w:kern w:val="0"/>
          <w:sz w:val="24"/>
          <w:szCs w:val="24"/>
          <w14:textFill>
            <w14:solidFill>
              <w14:schemeClr w14:val="tx1"/>
            </w14:solidFill>
          </w14:textFill>
        </w:rPr>
        <w:t>与有资质的第三方劳务装卸服务公司签订搬运安全责任协议书。</w:t>
      </w:r>
      <w:r>
        <w:rPr>
          <w:rFonts w:hint="eastAsia" w:asciiTheme="minorEastAsia" w:hAnsiTheme="minorEastAsia" w:eastAsiaTheme="minorEastAsia"/>
          <w:color w:val="000000" w:themeColor="text1"/>
          <w:sz w:val="24"/>
          <w:szCs w:val="24"/>
          <w14:textFill>
            <w14:solidFill>
              <w14:schemeClr w14:val="tx1"/>
            </w14:solidFill>
          </w14:textFill>
        </w:rPr>
        <w:t>若发生安全事故，造成人员伤亡和财产损失由卖方承担全部责任。</w:t>
      </w:r>
    </w:p>
    <w:p w14:paraId="08CD68D1">
      <w:pPr>
        <w:spacing w:line="320" w:lineRule="exact"/>
        <w:ind w:firstLine="480" w:firstLineChars="20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3、买方P8-西格因升级改造施工，P8-西格稻谷入库时间需在2025年10月8日以后，即交货期限2025年10月8日至2025年10月30日。</w:t>
      </w:r>
    </w:p>
    <w:p w14:paraId="6D840756">
      <w:pPr>
        <w:spacing w:line="320" w:lineRule="exact"/>
        <w:ind w:firstLine="482" w:firstLineChars="20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八、违约责任</w:t>
      </w:r>
      <w:r>
        <w:rPr>
          <w:rFonts w:hint="eastAsia" w:asciiTheme="minorEastAsia" w:hAnsiTheme="minorEastAsia" w:eastAsiaTheme="minorEastAsia"/>
          <w:color w:val="000000" w:themeColor="text1"/>
          <w:sz w:val="24"/>
          <w:szCs w:val="24"/>
          <w14:textFill>
            <w14:solidFill>
              <w14:schemeClr w14:val="tx1"/>
            </w14:solidFill>
          </w14:textFill>
        </w:rPr>
        <w:t>：如有任何一方违约，违约部分保证金划归对方，并承担对方违约部分交易手续费，交易中心不承担经济责任。</w:t>
      </w:r>
    </w:p>
    <w:p w14:paraId="06F94888">
      <w:pPr>
        <w:spacing w:line="320" w:lineRule="exact"/>
        <w:ind w:firstLine="482" w:firstLineChars="200"/>
        <w:rPr>
          <w:rFonts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kern w:val="0"/>
          <w:sz w:val="24"/>
          <w:szCs w:val="24"/>
          <w14:textFill>
            <w14:solidFill>
              <w14:schemeClr w14:val="tx1"/>
            </w14:solidFill>
          </w14:textFill>
        </w:rPr>
        <w:t>九、争议解决</w:t>
      </w:r>
    </w:p>
    <w:p w14:paraId="7635B0D7">
      <w:pPr>
        <w:spacing w:line="320" w:lineRule="exact"/>
        <w:ind w:firstLine="480" w:firstLineChars="20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1、出现不明确责任情况，由交易中心协调解决；</w:t>
      </w:r>
    </w:p>
    <w:p w14:paraId="494AF7FF">
      <w:pPr>
        <w:spacing w:line="320" w:lineRule="exact"/>
        <w:ind w:firstLine="480" w:firstLineChars="20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2、卖方逾期交货（含因质量不合格被买方拒收造成的逾期交货），逾期供货10天内，每逾期一天，按逾期交货总金额的0.2%向买方支付滞纳金；</w:t>
      </w:r>
      <w:r>
        <w:rPr>
          <w:rFonts w:hint="eastAsia" w:asciiTheme="minorEastAsia" w:hAnsiTheme="minorEastAsia" w:eastAsiaTheme="minorEastAsia"/>
          <w:color w:val="000000" w:themeColor="text1"/>
          <w:sz w:val="24"/>
          <w:szCs w:val="24"/>
          <w14:textFill>
            <w14:solidFill>
              <w14:schemeClr w14:val="tx1"/>
            </w14:solidFill>
          </w14:textFill>
        </w:rPr>
        <w:t>超过11天的，由交易中心通知卖方停止供货，并按逾期交货数量每吨50元罚收卖方逾期费</w:t>
      </w:r>
      <w:r>
        <w:rPr>
          <w:rFonts w:hint="eastAsia" w:asciiTheme="minorEastAsia" w:hAnsiTheme="minorEastAsia" w:eastAsiaTheme="minorEastAsia"/>
          <w:color w:val="000000" w:themeColor="text1"/>
          <w:kern w:val="0"/>
          <w:sz w:val="24"/>
          <w:szCs w:val="24"/>
          <w14:textFill>
            <w14:solidFill>
              <w14:schemeClr w14:val="tx1"/>
            </w14:solidFill>
          </w14:textFill>
        </w:rPr>
        <w:t>。由于不可抗力原因导致卖方逾期交货，卖方应在一周内向买方及交易中心提交书面报告，说明货物受阻、受影响数量等情况，经交易中心核实，并征得买方同意后，相应顺延合同履行期限。因买方修缮改造仓房等原因影响交货期限，不作违约处理，双方另行协商签订补充协议。</w:t>
      </w:r>
    </w:p>
    <w:p w14:paraId="195F30C7">
      <w:pPr>
        <w:spacing w:line="320" w:lineRule="exact"/>
        <w:ind w:firstLine="480" w:firstLineChars="20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3、卖方不得发出带有活虫的粮食，如买方收到粮食时，初检发现每公斤样品主要害虫密度</w:t>
      </w:r>
      <w:r>
        <w:rPr>
          <w:rFonts w:asciiTheme="minorEastAsia" w:hAnsiTheme="minorEastAsia" w:eastAsiaTheme="minorEastAsia"/>
          <w:color w:val="000000" w:themeColor="text1"/>
          <w:kern w:val="0"/>
          <w:sz w:val="24"/>
          <w:szCs w:val="24"/>
          <w14:textFill>
            <w14:solidFill>
              <w14:schemeClr w14:val="tx1"/>
            </w14:solidFill>
          </w14:textFill>
        </w:rPr>
        <w:t>大于</w:t>
      </w:r>
      <w:r>
        <w:rPr>
          <w:rFonts w:hint="eastAsia" w:asciiTheme="minorEastAsia" w:hAnsiTheme="minorEastAsia" w:eastAsiaTheme="minorEastAsia"/>
          <w:color w:val="000000" w:themeColor="text1"/>
          <w:kern w:val="0"/>
          <w:sz w:val="24"/>
          <w:szCs w:val="24"/>
          <w14:textFill>
            <w14:solidFill>
              <w14:schemeClr w14:val="tx1"/>
            </w14:solidFill>
          </w14:textFill>
        </w:rPr>
        <w:t>2头/㎏, 买方有权不予接收</w:t>
      </w:r>
      <w:r>
        <w:rPr>
          <w:rFonts w:asciiTheme="minorEastAsia" w:hAnsiTheme="minorEastAsia" w:eastAsiaTheme="minorEastAsia"/>
          <w:color w:val="000000" w:themeColor="text1"/>
          <w:kern w:val="0"/>
          <w:sz w:val="24"/>
          <w:szCs w:val="24"/>
          <w14:textFill>
            <w14:solidFill>
              <w14:schemeClr w14:val="tx1"/>
            </w14:solidFill>
          </w14:textFill>
        </w:rPr>
        <w:t>。</w:t>
      </w:r>
    </w:p>
    <w:p w14:paraId="5DB5DA04">
      <w:pPr>
        <w:autoSpaceDE w:val="0"/>
        <w:autoSpaceDN w:val="0"/>
        <w:adjustRightInd w:val="0"/>
        <w:spacing w:line="320" w:lineRule="exact"/>
        <w:ind w:firstLine="480" w:firstLineChars="20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4、买卖双方如就质量问题发生争议，双方共同扦样并委托广东省技术监督粮油产品质量监督检验站检验鉴定，费用由责任方负担。</w:t>
      </w:r>
    </w:p>
    <w:p w14:paraId="7CA3DD03">
      <w:pPr>
        <w:spacing w:line="320" w:lineRule="exact"/>
        <w:ind w:firstLine="482" w:firstLineChars="200"/>
        <w:rPr>
          <w:rFonts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十</w:t>
      </w:r>
      <w:r>
        <w:rPr>
          <w:rFonts w:hint="eastAsia" w:asciiTheme="minorEastAsia" w:hAnsiTheme="minorEastAsia" w:eastAsiaTheme="minorEastAsia"/>
          <w:b/>
          <w:color w:val="000000" w:themeColor="text1"/>
          <w:kern w:val="0"/>
          <w:sz w:val="24"/>
          <w:szCs w:val="24"/>
          <w14:textFill>
            <w14:solidFill>
              <w14:schemeClr w14:val="tx1"/>
            </w14:solidFill>
          </w14:textFill>
        </w:rPr>
        <w:t>、本合同自签订之日起生效，双方履行完毕后，自然终止。</w:t>
      </w:r>
    </w:p>
    <w:p w14:paraId="77D9685B">
      <w:pPr>
        <w:spacing w:line="320" w:lineRule="exact"/>
        <w:ind w:firstLine="482" w:firstLineChars="200"/>
        <w:rPr>
          <w:rFonts w:asciiTheme="minorEastAsia" w:hAnsiTheme="minorEastAsia" w:eastAsiaTheme="minorEastAsia"/>
          <w:b/>
          <w:color w:val="000000" w:themeColor="text1"/>
          <w:kern w:val="0"/>
          <w:sz w:val="24"/>
          <w:szCs w:val="24"/>
          <w14:textFill>
            <w14:solidFill>
              <w14:schemeClr w14:val="tx1"/>
            </w14:solidFill>
          </w14:textFill>
        </w:rPr>
      </w:pPr>
      <w:r>
        <w:rPr>
          <w:rFonts w:hint="eastAsia" w:asciiTheme="minorEastAsia" w:hAnsiTheme="minorEastAsia" w:eastAsiaTheme="minorEastAsia"/>
          <w:b/>
          <w:color w:val="000000" w:themeColor="text1"/>
          <w:kern w:val="0"/>
          <w:sz w:val="24"/>
          <w:szCs w:val="24"/>
          <w14:textFill>
            <w14:solidFill>
              <w14:schemeClr w14:val="tx1"/>
            </w14:solidFill>
          </w14:textFill>
        </w:rPr>
        <w:t>十一、如有未尽事宜，买卖双方同意按照《梅州市嘉应粮食交易中心竞价交易规则》《梅州市嘉应粮食交易中心竞价交易细则》的相关条款协商解决。协商不成的，提交有关部门或</w:t>
      </w:r>
      <w:r>
        <w:rPr>
          <w:rFonts w:hint="eastAsia" w:asciiTheme="minorEastAsia" w:hAnsiTheme="minorEastAsia" w:eastAsiaTheme="minorEastAsia"/>
          <w:b/>
          <w:color w:val="000000" w:themeColor="text1"/>
          <w:sz w:val="24"/>
          <w:szCs w:val="24"/>
          <w14:textFill>
            <w14:solidFill>
              <w14:schemeClr w14:val="tx1"/>
            </w14:solidFill>
          </w14:textFill>
        </w:rPr>
        <w:t>通过法律程序解决。</w:t>
      </w:r>
    </w:p>
    <w:p w14:paraId="05DDD5BC">
      <w:pPr>
        <w:spacing w:line="320" w:lineRule="exact"/>
        <w:ind w:firstLine="482" w:firstLineChars="200"/>
        <w:rPr>
          <w:rFonts w:asciiTheme="minorEastAsia" w:hAnsiTheme="minorEastAsia" w:eastAsiaTheme="minorEastAsia"/>
          <w:b/>
          <w:color w:val="000000" w:themeColor="text1"/>
          <w:sz w:val="24"/>
          <w:szCs w:val="24"/>
          <w14:textFill>
            <w14:solidFill>
              <w14:schemeClr w14:val="tx1"/>
            </w14:solidFill>
          </w14:textFill>
        </w:rPr>
      </w:pPr>
      <w:r>
        <w:rPr>
          <w:rFonts w:hint="eastAsia" w:asciiTheme="minorEastAsia" w:hAnsiTheme="minorEastAsia" w:eastAsiaTheme="minorEastAsia"/>
          <w:b/>
          <w:color w:val="000000" w:themeColor="text1"/>
          <w:kern w:val="0"/>
          <w:sz w:val="24"/>
          <w:szCs w:val="24"/>
          <w14:textFill>
            <w14:solidFill>
              <w14:schemeClr w14:val="tx1"/>
            </w14:solidFill>
          </w14:textFill>
        </w:rPr>
        <w:t>十二、本合同一式三份，买卖双方、确认单位各执一份。</w:t>
      </w:r>
    </w:p>
    <w:p w14:paraId="3FDF5C31">
      <w:pPr>
        <w:autoSpaceDE w:val="0"/>
        <w:autoSpaceDN w:val="0"/>
        <w:adjustRightInd w:val="0"/>
        <w:spacing w:line="320" w:lineRule="exact"/>
        <w:ind w:firstLine="200"/>
        <w:rPr>
          <w:rFonts w:asciiTheme="minorEastAsia" w:hAnsiTheme="minorEastAsia" w:eastAsiaTheme="minorEastAsia"/>
          <w:color w:val="000000" w:themeColor="text1"/>
          <w:kern w:val="0"/>
          <w:sz w:val="24"/>
          <w:szCs w:val="24"/>
          <w14:textFill>
            <w14:solidFill>
              <w14:schemeClr w14:val="tx1"/>
            </w14:solidFill>
          </w14:textFill>
        </w:rPr>
      </w:pPr>
    </w:p>
    <w:p w14:paraId="3D777A1E">
      <w:pPr>
        <w:autoSpaceDE w:val="0"/>
        <w:autoSpaceDN w:val="0"/>
        <w:adjustRightInd w:val="0"/>
        <w:spacing w:line="320" w:lineRule="exact"/>
        <w:ind w:firstLine="480" w:firstLineChars="20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 xml:space="preserve">买方单位（盖章）：                  卖方单位（盖章）： </w:t>
      </w:r>
    </w:p>
    <w:p w14:paraId="34612C04">
      <w:pPr>
        <w:autoSpaceDE w:val="0"/>
        <w:autoSpaceDN w:val="0"/>
        <w:adjustRightInd w:val="0"/>
        <w:spacing w:line="320" w:lineRule="exact"/>
        <w:ind w:firstLine="200"/>
        <w:rPr>
          <w:rFonts w:asciiTheme="minorEastAsia" w:hAnsiTheme="minorEastAsia" w:eastAsiaTheme="minorEastAsia"/>
          <w:color w:val="000000" w:themeColor="text1"/>
          <w:kern w:val="0"/>
          <w:sz w:val="24"/>
          <w:szCs w:val="24"/>
          <w14:textFill>
            <w14:solidFill>
              <w14:schemeClr w14:val="tx1"/>
            </w14:solidFill>
          </w14:textFill>
        </w:rPr>
      </w:pPr>
    </w:p>
    <w:p w14:paraId="475B3B82">
      <w:pPr>
        <w:autoSpaceDE w:val="0"/>
        <w:autoSpaceDN w:val="0"/>
        <w:adjustRightInd w:val="0"/>
        <w:spacing w:line="320" w:lineRule="exact"/>
        <w:ind w:firstLine="480" w:firstLineChars="200"/>
        <w:rPr>
          <w:rFonts w:asciiTheme="minorEastAsia" w:hAnsiTheme="minorEastAsia" w:eastAsia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法人或代理人（签字）：              法人或代理人（签字）：</w:t>
      </w:r>
    </w:p>
    <w:p w14:paraId="4100584C">
      <w:pPr>
        <w:spacing w:line="320" w:lineRule="exact"/>
        <w:ind w:firstLine="200"/>
        <w:rPr>
          <w:rFonts w:asciiTheme="minorEastAsia" w:hAnsiTheme="minorEastAsia" w:eastAsiaTheme="minorEastAsia"/>
          <w:color w:val="000000" w:themeColor="text1"/>
          <w:kern w:val="0"/>
          <w:sz w:val="24"/>
          <w:szCs w:val="24"/>
          <w14:textFill>
            <w14:solidFill>
              <w14:schemeClr w14:val="tx1"/>
            </w14:solidFill>
          </w14:textFill>
        </w:rPr>
      </w:pPr>
    </w:p>
    <w:p w14:paraId="20D386EC">
      <w:pPr>
        <w:spacing w:line="320" w:lineRule="exact"/>
        <w:ind w:firstLine="200"/>
        <w:rPr>
          <w:rFonts w:asciiTheme="minorEastAsia" w:hAnsiTheme="minorEastAsia" w:eastAsiaTheme="minorEastAsia"/>
          <w:color w:val="000000" w:themeColor="text1"/>
          <w:sz w:val="24"/>
          <w:szCs w:val="24"/>
          <w14:textFill>
            <w14:solidFill>
              <w14:schemeClr w14:val="tx1"/>
            </w14:solidFill>
          </w14:textFill>
        </w:rPr>
      </w:pPr>
    </w:p>
    <w:p w14:paraId="46B8E21A">
      <w:pPr>
        <w:spacing w:line="320" w:lineRule="exact"/>
        <w:ind w:firstLine="480" w:firstLineChars="20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确认单位：梅州市嘉应粮食交易中心有限公司</w:t>
      </w:r>
    </w:p>
    <w:p w14:paraId="7E00A4D1">
      <w:pPr>
        <w:spacing w:line="320" w:lineRule="exact"/>
        <w:ind w:firstLine="480" w:firstLineChars="20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kern w:val="0"/>
          <w:sz w:val="24"/>
          <w:szCs w:val="24"/>
          <w14:textFill>
            <w14:solidFill>
              <w14:schemeClr w14:val="tx1"/>
            </w14:solidFill>
          </w14:textFill>
        </w:rPr>
        <w:t>电话（传真）</w:t>
      </w:r>
      <w:r>
        <w:rPr>
          <w:rFonts w:hint="eastAsia" w:asciiTheme="minorEastAsia" w:hAnsiTheme="minorEastAsia" w:eastAsiaTheme="minorEastAsia"/>
          <w:color w:val="000000" w:themeColor="text1"/>
          <w:sz w:val="24"/>
          <w:szCs w:val="24"/>
          <w14:textFill>
            <w14:solidFill>
              <w14:schemeClr w14:val="tx1"/>
            </w14:solidFill>
          </w14:textFill>
        </w:rPr>
        <w:t xml:space="preserve">：0753-2128232   0753-2128231     </w:t>
      </w:r>
    </w:p>
    <w:p w14:paraId="143EA4DF">
      <w:pPr>
        <w:spacing w:line="320" w:lineRule="exact"/>
        <w:ind w:firstLine="200"/>
        <w:rPr>
          <w:rFonts w:asciiTheme="minorEastAsia" w:hAnsiTheme="minorEastAsia" w:eastAsiaTheme="minorEastAsia"/>
          <w:color w:val="000000" w:themeColor="text1"/>
          <w:kern w:val="0"/>
          <w:sz w:val="24"/>
          <w:szCs w:val="24"/>
          <w14:textFill>
            <w14:solidFill>
              <w14:schemeClr w14:val="tx1"/>
            </w14:solidFill>
          </w14:textFill>
        </w:rPr>
      </w:pPr>
    </w:p>
    <w:p w14:paraId="50561DE4">
      <w:pPr>
        <w:spacing w:line="500" w:lineRule="exact"/>
        <w:ind w:right="960" w:firstLine="4800" w:firstLineChars="2000"/>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2025年</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9</w:t>
      </w:r>
      <w:r>
        <w:rPr>
          <w:rFonts w:hint="eastAsia" w:asciiTheme="minorEastAsia" w:hAnsiTheme="minorEastAsia" w:eastAsiaTheme="minorEastAsia"/>
          <w:color w:val="000000" w:themeColor="text1"/>
          <w:sz w:val="24"/>
          <w:szCs w:val="24"/>
          <w14:textFill>
            <w14:solidFill>
              <w14:schemeClr w14:val="tx1"/>
            </w14:solidFill>
          </w14:textFill>
        </w:rPr>
        <w:t>月</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olor w:val="000000" w:themeColor="text1"/>
          <w:sz w:val="24"/>
          <w:szCs w:val="24"/>
          <w14:textFill>
            <w14:solidFill>
              <w14:schemeClr w14:val="tx1"/>
            </w14:solidFill>
          </w14:textFill>
        </w:rPr>
        <w:t>日</w:t>
      </w:r>
    </w:p>
    <w:p w14:paraId="5C1AA8C3">
      <w:pPr>
        <w:rPr>
          <w:rFonts w:asciiTheme="minorEastAsia" w:hAnsiTheme="minorEastAsia" w:eastAsiaTheme="minorEastAsia"/>
          <w:color w:val="000000" w:themeColor="text1"/>
          <w:sz w:val="24"/>
          <w:szCs w:val="24"/>
          <w14:textFill>
            <w14:solidFill>
              <w14:schemeClr w14:val="tx1"/>
            </w14:solidFill>
          </w14:textFill>
        </w:rPr>
      </w:pPr>
    </w:p>
    <w:p w14:paraId="114C1456">
      <w:pPr>
        <w:rPr>
          <w:rFonts w:asciiTheme="minorEastAsia" w:hAnsiTheme="minorEastAsia" w:eastAsiaTheme="minorEastAsia"/>
          <w:color w:val="000000" w:themeColor="text1"/>
          <w:sz w:val="24"/>
          <w:szCs w:val="24"/>
          <w14:textFill>
            <w14:solidFill>
              <w14:schemeClr w14:val="tx1"/>
            </w14:solidFill>
          </w14:textFill>
        </w:rPr>
      </w:pPr>
    </w:p>
    <w:p w14:paraId="174C9D36">
      <w:pPr>
        <w:jc w:val="center"/>
        <w:rPr>
          <w:rFonts w:ascii="文星标宋" w:hAnsi="Times New Roman" w:eastAsia="文星标宋"/>
          <w:sz w:val="44"/>
          <w:szCs w:val="44"/>
        </w:rPr>
      </w:pPr>
      <w:r>
        <w:rPr>
          <w:rFonts w:hint="eastAsia" w:ascii="文星标宋" w:hAnsi="Times New Roman" w:eastAsia="文星标宋"/>
          <w:sz w:val="44"/>
          <w:szCs w:val="44"/>
        </w:rPr>
        <w:t>粮食质量安全信用承诺书</w:t>
      </w:r>
    </w:p>
    <w:p w14:paraId="481648EB">
      <w:pPr>
        <w:jc w:val="center"/>
        <w:rPr>
          <w:rFonts w:ascii="文星标宋" w:hAnsi="Times New Roman" w:eastAsia="文星标宋"/>
          <w:sz w:val="44"/>
          <w:szCs w:val="44"/>
        </w:rPr>
      </w:pPr>
    </w:p>
    <w:p w14:paraId="5015BF3D">
      <w:pPr>
        <w:jc w:val="left"/>
        <w:rPr>
          <w:rFonts w:ascii="文星仿宋" w:hAnsi="Times New Roman" w:eastAsia="文星仿宋"/>
          <w:sz w:val="32"/>
          <w:szCs w:val="32"/>
        </w:rPr>
      </w:pPr>
      <w:r>
        <w:rPr>
          <w:rFonts w:hint="eastAsia" w:ascii="文星仿宋" w:hAnsi="Times New Roman" w:eastAsia="文星仿宋"/>
          <w:sz w:val="32"/>
          <w:szCs w:val="32"/>
        </w:rPr>
        <w:t>蕉岭县金穗粮食收储有限公司：</w:t>
      </w:r>
    </w:p>
    <w:p w14:paraId="040D3A84">
      <w:pPr>
        <w:ind w:firstLine="640" w:firstLineChars="200"/>
        <w:jc w:val="left"/>
        <w:rPr>
          <w:rFonts w:ascii="文星仿宋" w:hAnsi="宋体" w:eastAsia="文星仿宋"/>
          <w:sz w:val="32"/>
          <w:szCs w:val="32"/>
        </w:rPr>
      </w:pPr>
      <w:r>
        <w:rPr>
          <w:rFonts w:hint="eastAsia" w:ascii="文星仿宋" w:hAnsi="Times New Roman" w:eastAsia="文星仿宋"/>
          <w:sz w:val="32"/>
          <w:szCs w:val="32"/>
        </w:rPr>
        <w:t>我</w:t>
      </w:r>
      <w:r>
        <w:rPr>
          <w:rFonts w:hint="eastAsia" w:ascii="文星仿宋" w:hAnsi="宋体" w:eastAsia="文星仿宋"/>
          <w:sz w:val="32"/>
          <w:szCs w:val="32"/>
        </w:rPr>
        <w:t>单位于</w:t>
      </w:r>
      <w:r>
        <w:rPr>
          <w:rFonts w:ascii="Times New Roman" w:hAnsi="Times New Roman" w:eastAsia="文星仿宋"/>
          <w:sz w:val="32"/>
          <w:szCs w:val="32"/>
        </w:rPr>
        <w:t>202</w:t>
      </w:r>
      <w:r>
        <w:rPr>
          <w:rFonts w:hint="eastAsia" w:ascii="Times New Roman" w:hAnsi="Times New Roman" w:eastAsia="文星仿宋"/>
          <w:sz w:val="32"/>
          <w:szCs w:val="32"/>
        </w:rPr>
        <w:t>5</w:t>
      </w:r>
      <w:r>
        <w:rPr>
          <w:rFonts w:hint="eastAsia" w:ascii="文星仿宋" w:hAnsi="宋体" w:eastAsia="文星仿宋"/>
          <w:sz w:val="32"/>
          <w:szCs w:val="32"/>
        </w:rPr>
        <w:t>年</w:t>
      </w:r>
      <w:r>
        <w:rPr>
          <w:rFonts w:hint="eastAsia" w:ascii="宋体" w:hAnsi="宋体" w:cs="宋体"/>
          <w:sz w:val="32"/>
          <w:szCs w:val="32"/>
        </w:rPr>
        <w:t>XX</w:t>
      </w:r>
      <w:r>
        <w:rPr>
          <w:rFonts w:hint="eastAsia" w:ascii="文星仿宋" w:hAnsi="宋体" w:eastAsia="文星仿宋"/>
          <w:sz w:val="32"/>
          <w:szCs w:val="32"/>
        </w:rPr>
        <w:t>月</w:t>
      </w:r>
      <w:r>
        <w:rPr>
          <w:rFonts w:hint="eastAsia" w:ascii="宋体" w:hAnsi="宋体" w:cs="宋体"/>
          <w:sz w:val="32"/>
          <w:szCs w:val="32"/>
        </w:rPr>
        <w:t>XX</w:t>
      </w:r>
      <w:r>
        <w:rPr>
          <w:rFonts w:hint="eastAsia" w:ascii="文星仿宋" w:hAnsi="宋体" w:eastAsia="文星仿宋"/>
          <w:sz w:val="32"/>
          <w:szCs w:val="32"/>
        </w:rPr>
        <w:t>日在梅州市嘉应粮食交易中心有限公司竞价采购交易中标</w:t>
      </w:r>
      <w:r>
        <w:rPr>
          <w:rFonts w:hint="eastAsia" w:ascii="Times New Roman" w:hAnsi="Times New Roman" w:eastAsia="文星仿宋"/>
          <w:sz w:val="32"/>
          <w:szCs w:val="32"/>
        </w:rPr>
        <w:t>2025</w:t>
      </w:r>
      <w:r>
        <w:rPr>
          <w:rFonts w:hint="eastAsia" w:ascii="文星仿宋" w:hAnsi="宋体" w:eastAsia="文星仿宋"/>
          <w:sz w:val="32"/>
          <w:szCs w:val="32"/>
        </w:rPr>
        <w:t>年产早籼三级稻谷</w:t>
      </w:r>
      <w:r>
        <w:rPr>
          <w:rFonts w:hint="eastAsia" w:ascii="宋体" w:hAnsi="宋体" w:cs="宋体"/>
          <w:sz w:val="32"/>
          <w:szCs w:val="32"/>
        </w:rPr>
        <w:t>XX</w:t>
      </w:r>
      <w:r>
        <w:rPr>
          <w:rFonts w:hint="eastAsia" w:ascii="文星仿宋" w:hAnsi="宋体" w:eastAsia="文星仿宋"/>
          <w:sz w:val="32"/>
          <w:szCs w:val="32"/>
        </w:rPr>
        <w:t>吨（合同编号：</w:t>
      </w:r>
      <w:r>
        <w:rPr>
          <w:rFonts w:hint="eastAsia" w:ascii="Times New Roman" w:hAnsi="Times New Roman" w:eastAsia="文星仿宋"/>
          <w:sz w:val="32"/>
          <w:szCs w:val="32"/>
        </w:rPr>
        <w:t>2025</w:t>
      </w:r>
      <w:r>
        <w:rPr>
          <w:rFonts w:hint="eastAsia" w:ascii="宋体" w:hAnsi="宋体" w:cs="宋体"/>
          <w:sz w:val="32"/>
          <w:szCs w:val="32"/>
        </w:rPr>
        <w:t>XX</w:t>
      </w:r>
      <w:r>
        <w:rPr>
          <w:rFonts w:hint="eastAsia" w:ascii="文星仿宋" w:hAnsi="宋体" w:eastAsia="文星仿宋"/>
          <w:sz w:val="32"/>
          <w:szCs w:val="32"/>
        </w:rPr>
        <w:t>）。我单位郑重承诺：</w:t>
      </w:r>
    </w:p>
    <w:p w14:paraId="6D9D95B7">
      <w:pPr>
        <w:ind w:firstLine="640" w:firstLineChars="200"/>
        <w:jc w:val="left"/>
        <w:rPr>
          <w:rFonts w:ascii="文星仿宋" w:hAnsi="宋体" w:eastAsia="文星仿宋"/>
          <w:sz w:val="32"/>
          <w:szCs w:val="32"/>
        </w:rPr>
      </w:pPr>
      <w:r>
        <w:rPr>
          <w:rFonts w:hint="eastAsia" w:ascii="文星仿宋" w:hAnsi="宋体" w:eastAsia="文星仿宋"/>
          <w:sz w:val="32"/>
          <w:szCs w:val="32"/>
        </w:rPr>
        <w:t>一、销售给贵公司的</w:t>
      </w:r>
      <w:r>
        <w:rPr>
          <w:rFonts w:ascii="Times New Roman" w:hAnsi="Times New Roman" w:eastAsia="文星仿宋"/>
          <w:sz w:val="32"/>
          <w:szCs w:val="32"/>
        </w:rPr>
        <w:t>该</w:t>
      </w:r>
      <w:r>
        <w:rPr>
          <w:rFonts w:hint="eastAsia" w:ascii="Times New Roman" w:hAnsi="Times New Roman" w:eastAsia="文星仿宋"/>
          <w:sz w:val="32"/>
          <w:szCs w:val="32"/>
        </w:rPr>
        <w:t>批粮食</w:t>
      </w:r>
      <w:r>
        <w:rPr>
          <w:rFonts w:hint="eastAsia" w:ascii="文星仿宋" w:hAnsi="文星仿宋" w:eastAsia="文星仿宋" w:cs="文星仿宋"/>
          <w:sz w:val="32"/>
          <w:szCs w:val="32"/>
        </w:rPr>
        <w:t>我单位拥有</w:t>
      </w:r>
      <w:r>
        <w:rPr>
          <w:rFonts w:hint="eastAsia" w:ascii="Times New Roman" w:hAnsi="Times New Roman" w:eastAsia="文星仿宋"/>
          <w:sz w:val="32"/>
          <w:szCs w:val="32"/>
        </w:rPr>
        <w:t>完全处分权，该批粮食之上未设定</w:t>
      </w:r>
      <w:r>
        <w:rPr>
          <w:rFonts w:ascii="Times New Roman" w:hAnsi="Times New Roman" w:eastAsia="文星仿宋"/>
          <w:sz w:val="32"/>
          <w:szCs w:val="32"/>
        </w:rPr>
        <w:t>任何他物权等财产负担，且未有任何第三人对</w:t>
      </w:r>
      <w:r>
        <w:rPr>
          <w:rFonts w:hint="eastAsia" w:ascii="Times New Roman" w:hAnsi="Times New Roman" w:eastAsia="文星仿宋"/>
          <w:sz w:val="32"/>
          <w:szCs w:val="32"/>
        </w:rPr>
        <w:t>该批粮食</w:t>
      </w:r>
      <w:r>
        <w:rPr>
          <w:rFonts w:ascii="Times New Roman" w:hAnsi="Times New Roman" w:eastAsia="文星仿宋"/>
          <w:sz w:val="32"/>
          <w:szCs w:val="32"/>
        </w:rPr>
        <w:t>提出任何权利主张</w:t>
      </w:r>
      <w:r>
        <w:rPr>
          <w:rFonts w:hint="eastAsia" w:ascii="Times New Roman" w:hAnsi="Times New Roman" w:eastAsia="文星仿宋"/>
          <w:sz w:val="32"/>
          <w:szCs w:val="32"/>
        </w:rPr>
        <w:t>，不存在权利瑕疵</w:t>
      </w:r>
      <w:r>
        <w:rPr>
          <w:rFonts w:hint="eastAsia" w:ascii="文星仿宋" w:hAnsi="文星仿宋" w:eastAsia="文星仿宋" w:cs="文星仿宋"/>
          <w:sz w:val="32"/>
          <w:szCs w:val="32"/>
        </w:rPr>
        <w:t>。</w:t>
      </w:r>
    </w:p>
    <w:p w14:paraId="6457A2D9">
      <w:pPr>
        <w:ind w:firstLine="640" w:firstLineChars="200"/>
        <w:jc w:val="left"/>
        <w:rPr>
          <w:rFonts w:ascii="文星仿宋" w:hAnsi="宋体" w:eastAsia="文星仿宋"/>
          <w:sz w:val="32"/>
          <w:szCs w:val="32"/>
        </w:rPr>
      </w:pPr>
      <w:r>
        <w:rPr>
          <w:rFonts w:hint="eastAsia" w:ascii="文星仿宋" w:hAnsi="宋体" w:eastAsia="文星仿宋"/>
          <w:sz w:val="32"/>
          <w:szCs w:val="32"/>
        </w:rPr>
        <w:t>二、销售给贵公司的粮食</w:t>
      </w:r>
      <w:r>
        <w:rPr>
          <w:rFonts w:hint="eastAsia" w:ascii="文星仿宋" w:hAnsi="文星仿宋" w:eastAsia="文星仿宋" w:cs="文星仿宋"/>
          <w:sz w:val="32"/>
          <w:szCs w:val="32"/>
        </w:rPr>
        <w:t>来源渠道合法正规，不混杂其他生产年份的粮食，不存在“以陈顶新”，“转圈粮”等违法违规行为</w:t>
      </w:r>
      <w:r>
        <w:rPr>
          <w:rFonts w:hint="eastAsia" w:ascii="宋体" w:hAnsi="宋体"/>
          <w:kern w:val="0"/>
          <w:sz w:val="24"/>
          <w:szCs w:val="24"/>
        </w:rPr>
        <w:t>，</w:t>
      </w:r>
      <w:r>
        <w:rPr>
          <w:rFonts w:hint="eastAsia" w:ascii="文星仿宋" w:hAnsi="文星仿宋" w:eastAsia="文星仿宋" w:cs="文星仿宋"/>
          <w:sz w:val="32"/>
          <w:szCs w:val="32"/>
        </w:rPr>
        <w:t>粮食质量符合合同约定标准。</w:t>
      </w:r>
    </w:p>
    <w:p w14:paraId="64B8158D">
      <w:pPr>
        <w:ind w:firstLine="640" w:firstLineChars="200"/>
        <w:jc w:val="left"/>
        <w:rPr>
          <w:rFonts w:ascii="文星仿宋" w:hAnsi="宋体" w:eastAsia="文星仿宋"/>
          <w:sz w:val="32"/>
          <w:szCs w:val="32"/>
        </w:rPr>
      </w:pPr>
      <w:r>
        <w:rPr>
          <w:rFonts w:hint="eastAsia" w:ascii="文星仿宋" w:hAnsi="文星仿宋" w:eastAsia="文星仿宋" w:cs="文星仿宋"/>
          <w:sz w:val="32"/>
          <w:szCs w:val="32"/>
        </w:rPr>
        <w:t>三、如有违反</w:t>
      </w:r>
      <w:r>
        <w:rPr>
          <w:rFonts w:hint="eastAsia" w:ascii="文星仿宋" w:hAnsi="宋体" w:eastAsia="文星仿宋"/>
          <w:sz w:val="32"/>
          <w:szCs w:val="32"/>
        </w:rPr>
        <w:t>，我单位愿承担违约和相关法律责任。</w:t>
      </w:r>
    </w:p>
    <w:p w14:paraId="079C0DA3">
      <w:pPr>
        <w:tabs>
          <w:tab w:val="left" w:pos="3206"/>
        </w:tabs>
        <w:ind w:firstLine="640" w:firstLineChars="200"/>
        <w:jc w:val="left"/>
        <w:rPr>
          <w:rFonts w:ascii="文星仿宋" w:hAnsi="文星仿宋" w:eastAsia="文星仿宋" w:cs="文星仿宋"/>
          <w:sz w:val="32"/>
          <w:szCs w:val="32"/>
        </w:rPr>
      </w:pPr>
      <w:r>
        <w:rPr>
          <w:rFonts w:hint="eastAsia" w:ascii="文星仿宋" w:hAnsi="文星仿宋" w:eastAsia="文星仿宋" w:cs="文星仿宋"/>
          <w:sz w:val="32"/>
          <w:szCs w:val="32"/>
        </w:rPr>
        <w:t>特此</w:t>
      </w:r>
      <w:bookmarkStart w:id="2" w:name="_GoBack"/>
      <w:bookmarkEnd w:id="2"/>
      <w:r>
        <w:rPr>
          <w:rFonts w:hint="eastAsia" w:ascii="文星仿宋" w:hAnsi="文星仿宋" w:eastAsia="文星仿宋" w:cs="文星仿宋"/>
          <w:sz w:val="32"/>
          <w:szCs w:val="32"/>
        </w:rPr>
        <w:t>承诺</w:t>
      </w:r>
      <w:r>
        <w:rPr>
          <w:rFonts w:hint="eastAsia" w:ascii="文星仿宋" w:hAnsi="文星仿宋" w:eastAsia="文星仿宋" w:cs="文星仿宋"/>
          <w:sz w:val="32"/>
          <w:szCs w:val="32"/>
        </w:rPr>
        <w:tab/>
      </w:r>
    </w:p>
    <w:p w14:paraId="664B2A9E">
      <w:pPr>
        <w:ind w:firstLine="640" w:firstLineChars="200"/>
        <w:jc w:val="left"/>
        <w:rPr>
          <w:rFonts w:ascii="文星仿宋" w:hAnsi="文星仿宋" w:eastAsia="文星仿宋" w:cs="文星仿宋"/>
          <w:sz w:val="32"/>
          <w:szCs w:val="32"/>
        </w:rPr>
      </w:pPr>
    </w:p>
    <w:p w14:paraId="108D3DB5">
      <w:pPr>
        <w:ind w:firstLine="640" w:firstLineChars="200"/>
        <w:jc w:val="left"/>
        <w:rPr>
          <w:rFonts w:ascii="文星仿宋" w:hAnsi="文星仿宋" w:eastAsia="文星仿宋" w:cs="文星仿宋"/>
          <w:sz w:val="32"/>
          <w:szCs w:val="32"/>
        </w:rPr>
      </w:pPr>
    </w:p>
    <w:p w14:paraId="26C6ECA0">
      <w:pPr>
        <w:ind w:firstLine="2320" w:firstLineChars="725"/>
        <w:jc w:val="left"/>
        <w:rPr>
          <w:rFonts w:ascii="文星仿宋" w:hAnsi="文星仿宋" w:eastAsia="文星仿宋" w:cs="文星仿宋"/>
          <w:sz w:val="32"/>
          <w:szCs w:val="32"/>
        </w:rPr>
      </w:pPr>
      <w:r>
        <w:rPr>
          <w:rFonts w:hint="eastAsia" w:ascii="宋体" w:hAnsi="宋体" w:cs="宋体"/>
          <w:sz w:val="32"/>
          <w:szCs w:val="32"/>
        </w:rPr>
        <w:t>XX</w:t>
      </w:r>
      <w:r>
        <w:rPr>
          <w:rFonts w:hint="eastAsia" w:ascii="文星仿宋" w:hAnsi="文星仿宋" w:eastAsia="文星仿宋" w:cs="文星仿宋"/>
          <w:sz w:val="32"/>
          <w:szCs w:val="32"/>
        </w:rPr>
        <w:t>有限公司</w:t>
      </w:r>
    </w:p>
    <w:p w14:paraId="4F83CEE7">
      <w:pPr>
        <w:ind w:firstLine="2320" w:firstLineChars="725"/>
        <w:jc w:val="left"/>
        <w:rPr>
          <w:rFonts w:ascii="文星仿宋" w:hAnsi="文星仿宋" w:eastAsia="文星仿宋" w:cs="文星仿宋"/>
          <w:sz w:val="32"/>
          <w:szCs w:val="32"/>
        </w:rPr>
      </w:pPr>
      <w:r>
        <w:rPr>
          <w:rFonts w:hint="eastAsia" w:ascii="文星仿宋" w:hAnsi="文星仿宋" w:eastAsia="文星仿宋" w:cs="文星仿宋"/>
          <w:sz w:val="32"/>
          <w:szCs w:val="32"/>
        </w:rPr>
        <w:t>统一社会信用代码：</w:t>
      </w:r>
    </w:p>
    <w:p w14:paraId="0B03D9E6">
      <w:pPr>
        <w:ind w:left="3351" w:leftChars="1104" w:hanging="1033" w:hangingChars="323"/>
        <w:jc w:val="left"/>
        <w:rPr>
          <w:rFonts w:ascii="文星仿宋" w:hAnsi="文星仿宋" w:eastAsia="文星仿宋" w:cs="文星仿宋"/>
          <w:sz w:val="32"/>
          <w:szCs w:val="32"/>
        </w:rPr>
      </w:pPr>
      <w:r>
        <w:rPr>
          <w:rFonts w:hint="eastAsia" w:ascii="文星仿宋" w:hAnsi="文星仿宋" w:eastAsia="文星仿宋" w:cs="文星仿宋"/>
          <w:sz w:val="32"/>
          <w:szCs w:val="32"/>
        </w:rPr>
        <w:t>法定代表人签名：</w:t>
      </w:r>
    </w:p>
    <w:p w14:paraId="0AF4ED49">
      <w:pPr>
        <w:ind w:firstLine="640" w:firstLineChars="200"/>
        <w:jc w:val="left"/>
        <w:rPr>
          <w:rFonts w:ascii="文星仿宋" w:hAnsi="Times New Roman" w:eastAsia="文星仿宋"/>
          <w:sz w:val="32"/>
          <w:szCs w:val="32"/>
        </w:rPr>
      </w:pPr>
      <w:r>
        <w:rPr>
          <w:rFonts w:hint="eastAsia" w:ascii="文星仿宋" w:hAnsi="文星仿宋" w:eastAsia="文星仿宋" w:cs="文星仿宋"/>
          <w:sz w:val="32"/>
          <w:szCs w:val="32"/>
        </w:rPr>
        <w:t xml:space="preserve">            </w:t>
      </w:r>
      <w:r>
        <w:rPr>
          <w:rFonts w:hint="eastAsia" w:ascii="Times New Roman" w:hAnsi="Times New Roman" w:eastAsia="文星仿宋"/>
          <w:sz w:val="32"/>
          <w:szCs w:val="32"/>
        </w:rPr>
        <w:t>2025</w:t>
      </w:r>
      <w:r>
        <w:rPr>
          <w:rFonts w:hint="eastAsia" w:ascii="文星仿宋" w:hAnsi="文星仿宋" w:eastAsia="文星仿宋" w:cs="文星仿宋"/>
          <w:sz w:val="32"/>
          <w:szCs w:val="32"/>
        </w:rPr>
        <w:t>年</w:t>
      </w:r>
      <w:r>
        <w:rPr>
          <w:rFonts w:hint="eastAsia" w:ascii="宋体" w:hAnsi="宋体" w:cs="宋体"/>
          <w:sz w:val="32"/>
          <w:szCs w:val="32"/>
        </w:rPr>
        <w:t>XX</w:t>
      </w:r>
      <w:r>
        <w:rPr>
          <w:rFonts w:hint="eastAsia" w:ascii="文星仿宋" w:hAnsi="文星仿宋" w:eastAsia="文星仿宋" w:cs="文星仿宋"/>
          <w:sz w:val="32"/>
          <w:szCs w:val="32"/>
        </w:rPr>
        <w:t>月</w:t>
      </w:r>
      <w:r>
        <w:rPr>
          <w:rFonts w:hint="eastAsia" w:ascii="宋体" w:hAnsi="宋体" w:cs="宋体"/>
          <w:sz w:val="32"/>
          <w:szCs w:val="32"/>
        </w:rPr>
        <w:t>XX</w:t>
      </w:r>
      <w:r>
        <w:rPr>
          <w:rFonts w:hint="eastAsia" w:ascii="文星仿宋" w:hAnsi="文星仿宋" w:eastAsia="文星仿宋" w:cs="文星仿宋"/>
          <w:sz w:val="32"/>
          <w:szCs w:val="32"/>
        </w:rPr>
        <w:t>日</w:t>
      </w:r>
    </w:p>
    <w:p w14:paraId="1D59DBFB">
      <w:pPr>
        <w:rPr>
          <w:rFonts w:asciiTheme="minorEastAsia" w:hAnsiTheme="minorEastAsia" w:eastAsiaTheme="minorEastAsia"/>
          <w:color w:val="000000" w:themeColor="text1"/>
          <w:sz w:val="24"/>
          <w:szCs w:val="24"/>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标宋">
    <w:panose1 w:val="02010609000101010101"/>
    <w:charset w:val="86"/>
    <w:family w:val="modern"/>
    <w:pitch w:val="default"/>
    <w:sig w:usb0="00000001" w:usb1="080E0000" w:usb2="00000000" w:usb3="00000000" w:csb0="00040000" w:csb1="00000000"/>
  </w:font>
  <w:font w:name="文星仿宋">
    <w:panose1 w:val="02010604000101010101"/>
    <w:charset w:val="86"/>
    <w:family w:val="modern"/>
    <w:pitch w:val="default"/>
    <w:sig w:usb0="00000001"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189C"/>
    <w:rsid w:val="00027EE5"/>
    <w:rsid w:val="000E5DBB"/>
    <w:rsid w:val="000E67A9"/>
    <w:rsid w:val="0010697C"/>
    <w:rsid w:val="001B7487"/>
    <w:rsid w:val="00231B82"/>
    <w:rsid w:val="0029132F"/>
    <w:rsid w:val="00333E3E"/>
    <w:rsid w:val="003C546F"/>
    <w:rsid w:val="00412DE1"/>
    <w:rsid w:val="004C6AB1"/>
    <w:rsid w:val="004D57A9"/>
    <w:rsid w:val="004E2032"/>
    <w:rsid w:val="00521A86"/>
    <w:rsid w:val="005A0655"/>
    <w:rsid w:val="005C29FE"/>
    <w:rsid w:val="00644A0D"/>
    <w:rsid w:val="006817B5"/>
    <w:rsid w:val="007304B1"/>
    <w:rsid w:val="00734F8B"/>
    <w:rsid w:val="007703D0"/>
    <w:rsid w:val="007F20CF"/>
    <w:rsid w:val="00866AD7"/>
    <w:rsid w:val="00A75DB9"/>
    <w:rsid w:val="00AB11F6"/>
    <w:rsid w:val="00B10609"/>
    <w:rsid w:val="00C50BBE"/>
    <w:rsid w:val="00C7189C"/>
    <w:rsid w:val="00C97013"/>
    <w:rsid w:val="00D134B8"/>
    <w:rsid w:val="00DE5DC0"/>
    <w:rsid w:val="00E2198A"/>
    <w:rsid w:val="00E5140D"/>
    <w:rsid w:val="00E60761"/>
    <w:rsid w:val="00EA20AC"/>
    <w:rsid w:val="73C462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uiPriority w:val="99"/>
    <w:rPr>
      <w:rFonts w:ascii="Calibri" w:hAnsi="Calibri" w:eastAsia="宋体" w:cs="Times New Roman"/>
      <w:sz w:val="18"/>
      <w:szCs w:val="18"/>
    </w:rPr>
  </w:style>
  <w:style w:type="character" w:customStyle="1" w:styleId="8">
    <w:name w:val="页眉 Char"/>
    <w:basedOn w:val="6"/>
    <w:link w:val="4"/>
    <w:uiPriority w:val="99"/>
    <w:rPr>
      <w:rFonts w:ascii="Calibri" w:hAnsi="Calibri" w:eastAsia="宋体" w:cs="Times New Roman"/>
      <w:sz w:val="18"/>
      <w:szCs w:val="18"/>
    </w:rPr>
  </w:style>
  <w:style w:type="character" w:customStyle="1" w:styleId="9">
    <w:name w:val="页脚 Char"/>
    <w:basedOn w:val="6"/>
    <w:link w:val="3"/>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1973</Words>
  <Characters>2122</Characters>
  <Lines>16</Lines>
  <Paragraphs>4</Paragraphs>
  <TotalTime>11</TotalTime>
  <ScaleCrop>false</ScaleCrop>
  <LinksUpToDate>false</LinksUpToDate>
  <CharactersWithSpaces>2219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2025-08-29T03:25:00Z</dcterms:created>
  <dc:creator>微软用户</dc:creator>
  <cp:lastModifiedBy>晨怡</cp:lastModifiedBy>
  <cp:lastPrinted>2025-08-29T01:50:00Z</cp:lastPrinted>
  <dcterms:modified xsi:type="dcterms:W3CDTF">2025-08-29T07:24:40Z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eyJoZGlkIjoiZDQzNWNjZmMwOGZkY2FmNjMzMDM1ZTk0ODJlZGM0NzIiLCJ1c2VySWQiOiI3NjE2NDY1NDUifQ==</vt:lpwstr>
  </property>
  <property fmtid="{D5CDD505-2E9C-101B-9397-08002B2CF9AE}" pid="3" name="KSOProductBuildVer">
    <vt:lpwstr>2052-12.1.0.22529</vt:lpwstr>
  </property>
  <property fmtid="{D5CDD505-2E9C-101B-9397-08002B2CF9AE}" pid="4" name="ICV">
    <vt:lpwstr>B292740B84AC45F9BD2DDA5F746A371B_12</vt:lpwstr>
  </property>
</Properties>
</file>